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4930" w14:textId="77777777" w:rsidR="007328A6" w:rsidRDefault="007328A6">
      <w:r>
        <w:t>念佛的真實利益</w:t>
      </w:r>
      <w:r>
        <w:t>—</w:t>
      </w:r>
      <w:r>
        <w:t>沒有得事一心不亂不可能得理一心　　（第六二二集）　　恭錄自</w:t>
      </w:r>
      <w:r>
        <w:t xml:space="preserve"> </w:t>
      </w:r>
      <w:r>
        <w:t>淨空老法師《淨土大經解演義》　　檔名：</w:t>
      </w:r>
      <w:r>
        <w:t xml:space="preserve">29-506-0622 </w:t>
      </w:r>
    </w:p>
    <w:p w14:paraId="16146605" w14:textId="77777777" w:rsidR="007328A6" w:rsidRDefault="007328A6">
      <w:pPr>
        <w:pStyle w:val="a3"/>
      </w:pPr>
      <w:r>
        <w:t xml:space="preserve">　　「該氏並立一念之義，謂凡夫之信心如能與佛智一念相應，則往生事業自然成辦，不須口口聲聲多稱名號」。要不要天天用口裡來念？這不需要。那不需要，黃念老臨命終時為什麼半年的時間一天十四萬聲佛號不斷？這個我們要知道，絕對沒有矛盾，而是什麼？現前眾生根性不同，這個地方講的是理念，不是一般人能做到，這一句一句接著是事念，事念一般人可以做到。理念，你想想看，凡夫的信心能與佛智一念相應誰做得到？真能做到，確實不必把佛號掛在口上，這個人隨時能往生。因為他的一念跟阿彌陀佛相應，就像今天熱線電話一樣，他一起心動念一句阿彌陀佛，跟西方極樂世界阿彌陀佛就連起來，這一念想往生，佛就來接引。理念比事念功德大。但是理念難，我們這個心怎麼會跟它相應？佛的智慧有根本智、有後得智，相應是跟根本智相應，根本智是什麼？根本智就是一心，他是一心，我也是一心，一心跟一心相應，一心跟自性相應，佛跟自性相應，我也跟自性相應，是這麼個道理，用真心不用妄心。凡夫念佛，不但六道，十法界的眾生念佛統統用阿賴耶，阿賴耶是妄心不是真心，不是真心是屬於事念不是理念。事念能不能念到理一心？也能，但是決定是先得事一心不亂再向上提升，沒有得事一心不亂不可能得理一心。　　</w:t>
      </w:r>
    </w:p>
    <w:sectPr w:rsidR="007328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BAF33" w14:textId="77777777" w:rsidR="007328A6" w:rsidRDefault="007328A6" w:rsidP="00D63777">
      <w:r>
        <w:separator/>
      </w:r>
    </w:p>
  </w:endnote>
  <w:endnote w:type="continuationSeparator" w:id="0">
    <w:p w14:paraId="5E21DCB9" w14:textId="77777777" w:rsidR="007328A6" w:rsidRDefault="007328A6" w:rsidP="00D63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50DDA" w14:textId="77777777" w:rsidR="007328A6" w:rsidRDefault="007328A6" w:rsidP="00D63777">
      <w:r>
        <w:separator/>
      </w:r>
    </w:p>
  </w:footnote>
  <w:footnote w:type="continuationSeparator" w:id="0">
    <w:p w14:paraId="662A0C19" w14:textId="77777777" w:rsidR="007328A6" w:rsidRDefault="007328A6" w:rsidP="00D63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77"/>
    <w:rsid w:val="007328A6"/>
    <w:rsid w:val="00B519F4"/>
    <w:rsid w:val="00D6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5FD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37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37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37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37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