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669B" w14:textId="77777777" w:rsidR="00E042BE" w:rsidRDefault="00E042BE">
      <w:r>
        <w:t>念佛的真實利益</w:t>
      </w:r>
      <w:r>
        <w:t>—</w:t>
      </w:r>
      <w:r>
        <w:t>佛號伏不住煩惱，要讀經　　（第六七四集）　　恭錄自</w:t>
      </w:r>
      <w:r>
        <w:t xml:space="preserve"> </w:t>
      </w:r>
      <w:r>
        <w:t>淨空老法師《淨土大經解演義》　　檔名：</w:t>
      </w:r>
      <w:r>
        <w:t xml:space="preserve">29-506-0674 </w:t>
      </w:r>
    </w:p>
    <w:p w14:paraId="461D3CF9" w14:textId="77777777" w:rsidR="00E042BE" w:rsidRDefault="00E042BE">
      <w:pPr>
        <w:pStyle w:val="a3"/>
      </w:pPr>
      <w:r>
        <w:t xml:space="preserve">　　我們為什麼不能去？不能去的原因，是我們的煩惱習氣沒伏住。他許可我們帶舊業，不能帶新業，新業是什麼？你現在還在造。那這個說明你習氣太重，到極樂世界還會犯這個毛病，犯這個毛病就染污了清淨國土，破壞了大眾的秩序，這是極樂世界不歡迎的。只要你能夠把煩惱習氣伏住、控制住，控制的方法，這個不能不知道，就是一句佛號。古大德常說，「不怕念起，只怕覺遲」，念就是煩惱習氣，貪瞋痴慢起來了。這個不怕，為什麼？你肯定會起來，因為你是凡夫，你在六道裡頭時間太長、染污太嚴重了，習氣自然很深很深。如果這一句佛號你真念，你發狠心去念，一定要念到能伏住煩惱，這叫效果。我的貪瞋痴慢念頭才起來，這一起來，阿彌陀佛，第二句就是阿彌陀佛，就把它控制住了，這才管用。如果一面念佛，煩惱還一面起現行，這個沒用處。於是我們就曉得，念佛的時候妄念那麼多，把念佛功夫全破壞了。念佛本來是伏煩惱的，現在念佛的時候還被煩惱全破壞了，功夫不得力，這問題出在這裡。於是我們自己曉得自己根性，自己毛病是什麼，用什麼方法來對治是最有效的，各人不同。</w:t>
      </w:r>
      <w:r>
        <w:t xml:space="preserve"> </w:t>
      </w:r>
    </w:p>
    <w:p w14:paraId="6AB8EF40" w14:textId="77777777" w:rsidR="00E042BE" w:rsidRDefault="00E042BE">
      <w:pPr>
        <w:pStyle w:val="a3"/>
      </w:pPr>
      <w:r>
        <w:t xml:space="preserve">　　我在年輕的時候佛號伏不住煩惱，我用什麼方法？我用讀經，讀經煩惱少。一部經，長一點的經，像《楞嚴》、《法華》，差不多要四、五個小時，一直讀下來，四、五個小時煩惱就很少，妄念很少。念佛不行，妄念多。為什麼？這裡頭有意思在，你妄想來的時候意思就不見了。這各人善根不相同，我用這個方法很有效，我用了六十年。每天我至少四個小時讀經，四個小時給大家匯報，跟大家分享。這個也沒有妄念，有妄念我話就會說錯，叫胡說八道。所以我這樣能保持，至少能保持八小時，就不容易。長年這樣保持下來，才有一點感應，才能把經典註解裡頭看出意思之外還有意思。如果心不清淨就看不出來，表面意思都不容易看出來，這是我們在修學過程當中所見到的。念佛人不能不體會阿彌陀佛的意思，這不可以不體會到，知道阿彌陀佛的意願沒有別的，就一樁事情，幫助眾生到極樂世界，到極樂世界去作佛去，這是阿彌陀佛的本願。「彌陀本意，唯願眾生往生彼土，得涅槃道，悉皆成佛」。　　</w:t>
      </w:r>
    </w:p>
    <w:sectPr w:rsidR="00E042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C726C" w14:textId="77777777" w:rsidR="00E042BE" w:rsidRDefault="00E042BE" w:rsidP="007B225D">
      <w:r>
        <w:separator/>
      </w:r>
    </w:p>
  </w:endnote>
  <w:endnote w:type="continuationSeparator" w:id="0">
    <w:p w14:paraId="0B95A13A" w14:textId="77777777" w:rsidR="00E042BE" w:rsidRDefault="00E042BE" w:rsidP="007B2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61B37" w14:textId="77777777" w:rsidR="00E042BE" w:rsidRDefault="00E042BE" w:rsidP="007B225D">
      <w:r>
        <w:separator/>
      </w:r>
    </w:p>
  </w:footnote>
  <w:footnote w:type="continuationSeparator" w:id="0">
    <w:p w14:paraId="7E5F67F0" w14:textId="77777777" w:rsidR="00E042BE" w:rsidRDefault="00E042BE" w:rsidP="007B2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25D"/>
    <w:rsid w:val="007B225D"/>
    <w:rsid w:val="00B519F4"/>
    <w:rsid w:val="00E0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D83C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22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22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22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22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