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140F" w14:textId="77777777" w:rsidR="004510A3" w:rsidRDefault="004510A3">
      <w:r>
        <w:t>念佛的真實利益</w:t>
      </w:r>
      <w:r>
        <w:t>—</w:t>
      </w:r>
      <w:r>
        <w:t>這一生自己能不能往生是最重要的　　（第七Ｏ一集）　　恭錄自</w:t>
      </w:r>
      <w:r>
        <w:t xml:space="preserve"> </w:t>
      </w:r>
      <w:r>
        <w:t>淨空老法師《淨土大經解演義》　　檔名：</w:t>
      </w:r>
      <w:r>
        <w:t xml:space="preserve">29-506-0701 </w:t>
      </w:r>
    </w:p>
    <w:p w14:paraId="00917365" w14:textId="77777777" w:rsidR="004510A3" w:rsidRDefault="004510A3">
      <w:pPr>
        <w:pStyle w:val="a3"/>
      </w:pPr>
      <w:r>
        <w:t xml:space="preserve">　　往生不能靠人，靠人靠不住。現在就連助念都不保險，助念的人他心不清淨，他很著急，你到底有沒有往生？聽說往生頭上發熱，這一會兒摸一下、一會兒又摸一下，你說你煩不煩惱？助念的人要是清淨平等覺助念，有功德；心浮氣躁那個助念，我相信那個磁場不是往生人所希望的。心浮氣躁這種磁場是極不穩定，在那個磁場裡他怎麼會得到清淨心？這些道理你總得要懂。萬事總不離理，你把理掌握到。所以印光大師《文鈔》裡常常勸人，人在臨終幫他助念，不要碰他，讓他非常安詳的走。這個對！甚至祖師提出來，至少斷氣之後八個小時；可是最安全是十二個小時，最好的是十四個小時，這是判斷大概走了，神識離開了。能不能往生？是不是真往生？有兩個最可靠的信息，第一個他臨走的時候還沒斷氣，見到佛來接引，告訴身邊大眾，佛來接我去了，我走了。這真的，一點都不假。第二種，你真心要求他托夢給你，他如果真往生，他就有能力托夢給你，他到極樂世界去了；他要沒有托夢給你，那就沒去。往生極樂世界的人他有這個能力，感應道交不可思議，我們求他托夢，這是感，他就有應。雖然沒有應，他走得很好，走得很安詳，走得很莊嚴，肯定他不墮三惡道。這是靠得住的，這個沒有問題。所以要依經教，要依祖師大德這種開示來</w:t>
      </w:r>
      <w:r>
        <w:t>做參考。</w:t>
      </w:r>
      <w:r>
        <w:t xml:space="preserve"> </w:t>
      </w:r>
    </w:p>
    <w:p w14:paraId="6704AB67" w14:textId="77777777" w:rsidR="004510A3" w:rsidRDefault="004510A3">
      <w:pPr>
        <w:pStyle w:val="a3"/>
      </w:pPr>
      <w:r>
        <w:t xml:space="preserve">　　實在說，走的人有沒有往生，對我們來說並不重要。最重要的是什麼？我們這一生自己能不能往生，這是最重要的。他到極樂世界，我往生不就見到了嗎？我們看慧遠大師的傳記，慧遠大師往生的時候佛來接引，看到蓮社比他早往生的人，都在阿彌陀佛的身邊，一起來迎接他，都見面了。沒有往生就不在，只要有往生的人都在，這是真的，這不是假的。我們要求的是這個，不求別的，絕不擾亂我們自己的清淨心，這是送往生的人不能不知道的。不要以為我送了好多人，我有好多功德，你還在貪戀功德，貪心還沒斷，名利沒放下，傲慢沒放下，一身的煩惱習氣，這個都是自己麻煩的地方，不能不知道。　　</w:t>
      </w:r>
    </w:p>
    <w:sectPr w:rsidR="004510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1AB01" w14:textId="77777777" w:rsidR="004510A3" w:rsidRDefault="004510A3" w:rsidP="00A913EB">
      <w:r>
        <w:separator/>
      </w:r>
    </w:p>
  </w:endnote>
  <w:endnote w:type="continuationSeparator" w:id="0">
    <w:p w14:paraId="48F227FC" w14:textId="77777777" w:rsidR="004510A3" w:rsidRDefault="004510A3" w:rsidP="00A91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6AF6" w14:textId="77777777" w:rsidR="004510A3" w:rsidRDefault="004510A3" w:rsidP="00A913EB">
      <w:r>
        <w:separator/>
      </w:r>
    </w:p>
  </w:footnote>
  <w:footnote w:type="continuationSeparator" w:id="0">
    <w:p w14:paraId="52D4DD8B" w14:textId="77777777" w:rsidR="004510A3" w:rsidRDefault="004510A3" w:rsidP="00A91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EB"/>
    <w:rsid w:val="004510A3"/>
    <w:rsid w:val="00A913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7CF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