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676E" w14:textId="77777777" w:rsidR="00E447D5" w:rsidRDefault="00E447D5">
      <w:r>
        <w:t>念佛的真實利益</w:t>
      </w:r>
      <w:r>
        <w:t>—</w:t>
      </w:r>
      <w:r>
        <w:t>為何凈土易往而無人？　　（第七二四集）　　恭錄自</w:t>
      </w:r>
      <w:r>
        <w:t xml:space="preserve"> </w:t>
      </w:r>
      <w:r>
        <w:t>淨空老法師《淨土大經解演義》　　檔名：</w:t>
      </w:r>
      <w:r>
        <w:t xml:space="preserve">29-506-0724 </w:t>
      </w:r>
    </w:p>
    <w:p w14:paraId="4C60D0E9" w14:textId="77777777" w:rsidR="00E447D5" w:rsidRDefault="00E447D5">
      <w:pPr>
        <w:pStyle w:val="a3"/>
      </w:pPr>
      <w:r>
        <w:t xml:space="preserve">　　『易往而無人』，極樂世界真是非常容易去的，怎麼會無人？我們看《淨影疏》裡說的，「修因即去，名為易往」，真信真願，老實念佛，他就往生，這易往。可是，「無人修因，往生者尟，故曰無人」，尟是少，往生的人少。為什麼少？沒人修。讓我們想起，這個法門，淨宗法門確確實實是佛所說的難信之法，大家不肯相信，真難信！我們自己就有這個經驗。六十年前，方東美先生把佛經哲學介紹給我，我們歡喜接受是哲學，佛經哲學。如果是講念佛往生，我們不能接受，不但我不會接受，方東美先生他也不接受，真難信！接受的人真不多。愛好佛學經論的理論，人可不少，這些高等知識分子接觸到真歡喜，但是你勸他往生，你勸他老實念佛，這個做不到。</w:t>
      </w:r>
      <w:r>
        <w:t xml:space="preserve"> </w:t>
      </w:r>
    </w:p>
    <w:p w14:paraId="393B4E57" w14:textId="77777777" w:rsidR="00E447D5" w:rsidRDefault="00E447D5">
      <w:pPr>
        <w:pStyle w:val="a3"/>
      </w:pPr>
      <w:r>
        <w:t xml:space="preserve">　　我跟李老師學教十年，對淨土不排斥，淨土的經論也讀，印光大師《文鈔》也看過，也很佩服，也讚歎，總不能夠像《華嚴》、《法華》那樣令人生歡喜心。實在講，淨土經裡面它太奧妙，它的敘說太簡單，字字句句雖然有無量義，絕不是一般人所能夠發現的，於是易往而無人。我跟同學們說過多次，我對於淨土生信心是要感謝李老師，李老師多次的勸我，這個因，種下這個因。在華嚴、法華、楞嚴會上看到文殊、普賢、觀音、勢至往生淨土，殊勝無比的因緣，這才感動，啟發對淨宗的信心。也學這個經教了，慢慢也講幾遍，像《無量壽經》前後就講了十遍，從大經裡面省悟過來了。文殊、普賢菩薩，教內外的學者沒有不尊重的，沒有不仰慕的，沒有不佩服的，他們怎麼成就的？在《華嚴經》末後統統都是發願求生淨土，親近阿彌陀佛。我們看到了，這才死心塌地，不但不懷疑，要效法。讀《彌陀經要解》，知道本師釋迦牟尼佛為我們示現的是念佛成就的，如果不是蕅益大師提醒我們，我們天天讀《彌陀經》沒發現。他這一提醒，我們一看，真的不是假的，本師釋迦牟尼佛是念佛成佛的。　　</w:t>
      </w:r>
    </w:p>
    <w:sectPr w:rsidR="00E447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BCB3" w14:textId="77777777" w:rsidR="00E447D5" w:rsidRDefault="00E447D5" w:rsidP="002D303B">
      <w:r>
        <w:separator/>
      </w:r>
    </w:p>
  </w:endnote>
  <w:endnote w:type="continuationSeparator" w:id="0">
    <w:p w14:paraId="23100B17" w14:textId="77777777" w:rsidR="00E447D5" w:rsidRDefault="00E447D5" w:rsidP="002D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ECB04" w14:textId="77777777" w:rsidR="00E447D5" w:rsidRDefault="00E447D5" w:rsidP="002D303B">
      <w:r>
        <w:separator/>
      </w:r>
    </w:p>
  </w:footnote>
  <w:footnote w:type="continuationSeparator" w:id="0">
    <w:p w14:paraId="7C35A4ED" w14:textId="77777777" w:rsidR="00E447D5" w:rsidRDefault="00E447D5" w:rsidP="002D3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3B"/>
    <w:rsid w:val="002D303B"/>
    <w:rsid w:val="00B519F4"/>
    <w:rsid w:val="00E4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91E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