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9222D" w14:textId="77777777" w:rsidR="00021A35" w:rsidRDefault="00021A35">
      <w:r>
        <w:t>念佛的真實利益</w:t>
      </w:r>
      <w:r>
        <w:t>—</w:t>
      </w:r>
      <w:r>
        <w:t>信心往生跟疑心往生不一樣　　（第七四六集）　　恭錄自</w:t>
      </w:r>
      <w:r>
        <w:t xml:space="preserve"> </w:t>
      </w:r>
      <w:r>
        <w:t>淨空老法師《淨土大經解演義》　　檔名：</w:t>
      </w:r>
      <w:r>
        <w:t xml:space="preserve">29-506-0746 </w:t>
      </w:r>
    </w:p>
    <w:p w14:paraId="019109DE" w14:textId="77777777" w:rsidR="00021A35" w:rsidRDefault="00021A35">
      <w:pPr>
        <w:pStyle w:val="a3"/>
      </w:pPr>
      <w:r>
        <w:t xml:space="preserve">　　「《會疏》曰：始終不退，名精進。求心所願，願求往生也。疑惑者」，他疑什麼？惑是迷惑，「不了佛智故。悔是惡作」，譬如「初信後疑，悔前信解，半途而廢」，這叫悔，叫後悔。「自為過咎者，彼國不逆違，自甘生邊地故」，這個過失在自己，不在別人。「諸厄」是指什麼？「不見三寶，不聞經法」，沒有別的過失，過失就是指這個。不見三寶，沒福；不聞經法，智慧不開。這一段就是《會疏》解釋得比較詳細，把疑惑在這裡提出來，是不了佛智。「至於三輩中是否包括邊地問題。《無量壽經鈔》論之甚詳。鈔曰：經說不同」，這個經就是指五種原譯本。「《覺經》（漢譯）」，漢譯為《無量清淨平等覺經》，「《大阿彌陀經》（吳譯），中下輩攝（指中輩下輩皆有邊地）。今經」，這個今經是指魏譯的，康僧鎧的本子。康僧鎧的本子說「不爾，別說之。故諸師亦異」，諸師指的是「曇鸞、元曉、法住、如湛等師，存不攝義。義寂、憬興、龍興、仁岳等師，存攝義也。各據一義，並不相違。但以此經，翻譯正本。曇鸞大師，我宗高祖。今須依之」，曇鸞的《略論》。《略論》裡說得好，「又有一種往生安樂，不入三輩」。三輩是上輩、中輩、下輩，我們在前面讀過「三輩往生」、「往生正因」，他說不入三輩。「夫三輩，則信心往</w:t>
      </w:r>
      <w:r>
        <w:t>生，亦所勸也。邊地即是疑心往生，亦所誡也」。說三輩是信心往生，我們應該勸導、要勉勵他，這個是決定入位的。看他念佛功夫淺深、發心大小，上輩生實報土，中輩生方便土，下輩生同居土，三輩各有九品。</w:t>
      </w:r>
      <w:r>
        <w:t xml:space="preserve"> </w:t>
      </w:r>
    </w:p>
    <w:p w14:paraId="3434443E" w14:textId="77777777" w:rsidR="00021A35" w:rsidRDefault="00021A35">
      <w:pPr>
        <w:pStyle w:val="a3"/>
      </w:pPr>
      <w:r>
        <w:t xml:space="preserve">　　這一類，邊地是疑心往生。為什麼疑心也會往生？下面會講到。疑心是兩種，一種是懷疑自己，怕自己善根福德不夠，他也念佛，也求往生，自己認為自己沒有把握，僥倖，如果能往生，很好，不能往生就算了，試試看，用這種心態，他能往生，生邊地去了。也就是說這個法門不許可有疑惑，有疑惑的人，真正肯幹的人，想試試看，也行，他就落在邊地。所以佛在這裡勸導我們，最好是信心往生，不要懷疑。信心往生至少也是下品下生，他入品位，不一樣，是極樂世界阿彌陀佛正式的學生，那個邊地等於說旁聽生，那是預備班，還不是正式的。所以這個應該要勸誡，「信疑勸誡」，要勸信、要誡疑。「天地水火，何得相攝」，天地不相攝，水火不相攝，比喻疑信不相攝，信心往生跟疑心往生不一樣，這說得很有道理。「《鈔》論甚善」，這個《鈔》是曇鸞法師的。「具信心者入三輩，存疑心者墮邊地。兩心不同，生處必異。是以今此《會本》，於三輩外，別明邊地疑城」。　　</w:t>
      </w:r>
    </w:p>
    <w:sectPr w:rsidR="00021A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54E41" w14:textId="77777777" w:rsidR="00021A35" w:rsidRDefault="00021A35" w:rsidP="00C617EA">
      <w:r>
        <w:separator/>
      </w:r>
    </w:p>
  </w:endnote>
  <w:endnote w:type="continuationSeparator" w:id="0">
    <w:p w14:paraId="39A79339" w14:textId="77777777" w:rsidR="00021A35" w:rsidRDefault="00021A35" w:rsidP="00C61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E1E6C" w14:textId="77777777" w:rsidR="00021A35" w:rsidRDefault="00021A35" w:rsidP="00C617EA">
      <w:r>
        <w:separator/>
      </w:r>
    </w:p>
  </w:footnote>
  <w:footnote w:type="continuationSeparator" w:id="0">
    <w:p w14:paraId="1E725B44" w14:textId="77777777" w:rsidR="00021A35" w:rsidRDefault="00021A35" w:rsidP="00C617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7EA"/>
    <w:rsid w:val="00021A35"/>
    <w:rsid w:val="00B519F4"/>
    <w:rsid w:val="00C6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45A4F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17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17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17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17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