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DF66" w14:textId="77777777" w:rsidR="00A9159C" w:rsidRDefault="00A9159C">
      <w:r>
        <w:t>念佛的真實利益</w:t>
      </w:r>
      <w:r>
        <w:t>—</w:t>
      </w:r>
      <w:r>
        <w:t>觀音菩薩怎麼修成佛的？　　（第七五八集）　　恭錄自</w:t>
      </w:r>
      <w:r>
        <w:t xml:space="preserve"> </w:t>
      </w:r>
      <w:r>
        <w:t>淨空老法師《淨土大經解演義》　　檔名：</w:t>
      </w:r>
      <w:r>
        <w:t xml:space="preserve">29-506-0758 </w:t>
      </w:r>
    </w:p>
    <w:p w14:paraId="4CBE546C" w14:textId="77777777" w:rsidR="00A9159C" w:rsidRDefault="00A9159C">
      <w:pPr>
        <w:pStyle w:val="a3"/>
      </w:pPr>
      <w:r>
        <w:t xml:space="preserve">　　「大士不逐聞塵，返聞自性，是為端耳。如是演申，不逐色塵，返觀自性，是為端目。如是六根，不逐六塵，朗照心源，方名端正，故為第一也」。這一段文說的是《楞嚴經》裡面，觀世音菩薩「反聞聞自性，性成無上道」。觀音菩薩他是怎麼成佛的？他是怎麼修的？在《楞嚴經》裡面就講得很清楚。就是經文裡面講的，「各自端守」，端正身心。以觀音菩薩為例子，觀音菩薩是耳根，他的功夫是六根裡面的耳根。耳是對外面的，它的境界是音聲，我們一般人耳都是向外，會被外面境界影響。觀音菩薩他用的是相反的，他聞自性，不向外面，就是不逐聞塵，聞塵就是音聲。所以他回過頭來反聞自性，用這個方法他得到禪定，從禪定裡面大徹大悟，明心見性，成佛了。如果我們對外，肯定會被外面境界染污，受外面境界的影響，起心動念分別執著，生起貪瞋痴慢，這就叫造業。用菩薩這個例子，我們將它引申，如果我們眼不逐色塵，眼的對象是色，不逐色塵，能夠反觀自性，那我們的眼就端正了。觀世音菩薩耳根端正了，眼也端正了。　　</w:t>
      </w:r>
    </w:p>
    <w:sectPr w:rsidR="00A915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2CBC" w14:textId="77777777" w:rsidR="00A9159C" w:rsidRDefault="00A9159C" w:rsidP="0045664A">
      <w:r>
        <w:separator/>
      </w:r>
    </w:p>
  </w:endnote>
  <w:endnote w:type="continuationSeparator" w:id="0">
    <w:p w14:paraId="6456FF18" w14:textId="77777777" w:rsidR="00A9159C" w:rsidRDefault="00A9159C" w:rsidP="0045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94D31" w14:textId="77777777" w:rsidR="00A9159C" w:rsidRDefault="00A9159C" w:rsidP="0045664A">
      <w:r>
        <w:separator/>
      </w:r>
    </w:p>
  </w:footnote>
  <w:footnote w:type="continuationSeparator" w:id="0">
    <w:p w14:paraId="1B3B140E" w14:textId="77777777" w:rsidR="00A9159C" w:rsidRDefault="00A9159C" w:rsidP="00456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4A"/>
    <w:rsid w:val="0045664A"/>
    <w:rsid w:val="00A915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FBB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6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6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6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6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