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08C1D" w14:textId="77777777" w:rsidR="005C1519" w:rsidRDefault="005C1519">
      <w:r>
        <w:t>念佛的真實利益</w:t>
      </w:r>
      <w:r>
        <w:t>—</w:t>
      </w:r>
      <w:r>
        <w:t>怎樣才能去到極樂世界　　（第七六二集）　　恭錄自</w:t>
      </w:r>
      <w:r>
        <w:t xml:space="preserve"> </w:t>
      </w:r>
      <w:r>
        <w:t>淨空老法師《淨土大經解演義》　　檔名：</w:t>
      </w:r>
      <w:r>
        <w:t xml:space="preserve">29-506-0762 </w:t>
      </w:r>
    </w:p>
    <w:p w14:paraId="1D2BF2A7" w14:textId="77777777" w:rsidR="005C1519" w:rsidRDefault="005C1519">
      <w:pPr>
        <w:pStyle w:val="a3"/>
      </w:pPr>
      <w:r>
        <w:t xml:space="preserve">　　我們要想到極樂世界，對於放下名聞利養這樁事情要能忍。欲望前面說了，是六道裡頭第一惡，就是有欲望，欲望是第一個惡事，無論你貪財、貪色、貪名、貪利，你所貪的那個對象就是欲望。所以你要能夠忍，把它放下，遠離它。它對我們的傷害一定要知道，無量劫來到今天，我們不能脫離六道、不能往生都是它害了，還不放下嗎？不放下，這一生又空過了。這個日子還留戀嗎？真搞清楚、搞明白了，不想留戀，我想走了，不再搞這些把戲，那災難來了不是正好嗎？災難來就是我走的時候。所以你心是定的，你心是坦然的，你沒有驚慌，你沒有恐怖，你這一句佛號念到底，今生今世無論什麼境緣，我只抓住一句阿彌陀佛。身外之物學什麼？不取不捨，也就是說別去理它，不重要。雞毛蒜皮小事決定不放在心上，有，隨它去，沒有也隨它去，不要為這些東西操一點心，不要為這些東西起一個念頭，起心動念全是阿彌陀佛。</w:t>
      </w:r>
      <w:r>
        <w:t xml:space="preserve"> </w:t>
      </w:r>
    </w:p>
    <w:p w14:paraId="3A08BA66" w14:textId="77777777" w:rsidR="005C1519" w:rsidRDefault="005C1519">
      <w:pPr>
        <w:pStyle w:val="a3"/>
      </w:pPr>
      <w:r>
        <w:t xml:space="preserve">　　讀經，這一部《無量壽經》、這一部註解夠了，我不再搞別的了。學蓮池大師，「三藏十二部，讓給別人悟；八萬四千行，饒與別人行」，我全放下了，我就是一部經、一句佛號、一個法門。那我還想廣學多聞？暫時放下，到極樂世界，到極樂世界你廣學多聞這個願望就圓滿了。為什麼？每天到十方世界，你分身去的，無論想學什麼法門你還可以同時學。在毘盧遮那佛那裡學《華嚴》，在極樂世界學《無量壽》，在藥師如來那裡學醫道，在香積如來那個地方學烹調，你看什麼都可以學；彌勒如來那個地方學唯識、學法相，你就統統都可以學，有的是時間。現在時間寶貴，很短，把我們拘束在這個裡頭，非常非常有限，這個時間就太寶貴了。我們要把這個寶貴的時間、很短的時間完成淨土，這叫真智慧，這叫真聰明！你要把這個時間浪費了，你錯了，你錯到底了。所以放下要忍，忍才能放下，不忍放不下，一定要能忍。我們自己從忍辱得無比殊勝的利益，也教別人這個方法，一門深入，長時薰修。所以說是其福最勝。　　</w:t>
      </w:r>
    </w:p>
    <w:sectPr w:rsidR="005C15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D0A6E" w14:textId="77777777" w:rsidR="005C1519" w:rsidRDefault="005C1519" w:rsidP="00DA40AF">
      <w:r>
        <w:separator/>
      </w:r>
    </w:p>
  </w:endnote>
  <w:endnote w:type="continuationSeparator" w:id="0">
    <w:p w14:paraId="0F929E3D" w14:textId="77777777" w:rsidR="005C1519" w:rsidRDefault="005C1519" w:rsidP="00DA4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E8ADE" w14:textId="77777777" w:rsidR="005C1519" w:rsidRDefault="005C1519" w:rsidP="00DA40AF">
      <w:r>
        <w:separator/>
      </w:r>
    </w:p>
  </w:footnote>
  <w:footnote w:type="continuationSeparator" w:id="0">
    <w:p w14:paraId="1663B31B" w14:textId="77777777" w:rsidR="005C1519" w:rsidRDefault="005C1519" w:rsidP="00DA40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0AF"/>
    <w:rsid w:val="005C1519"/>
    <w:rsid w:val="00B519F4"/>
    <w:rsid w:val="00DA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FE49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40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40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40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40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