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DE31" w14:textId="77777777" w:rsidR="000601FE" w:rsidRDefault="000601FE">
      <w:r>
        <w:t>念佛的真實利益</w:t>
      </w:r>
      <w:r>
        <w:t>—</w:t>
      </w:r>
      <w:r>
        <w:t>淨宗的核心「是心作佛，是心是佛，心佛不二」　　（第八二Ｏ集）　　恭錄自</w:t>
      </w:r>
      <w:r>
        <w:t xml:space="preserve"> </w:t>
      </w:r>
      <w:r>
        <w:t>淨空老法師《淨土大經解演義》　　檔名：</w:t>
      </w:r>
      <w:r>
        <w:t xml:space="preserve">29-506-0820 </w:t>
      </w:r>
    </w:p>
    <w:p w14:paraId="25BFCC1A" w14:textId="77777777" w:rsidR="000601FE" w:rsidRDefault="000601FE">
      <w:pPr>
        <w:pStyle w:val="a3"/>
      </w:pPr>
      <w:r>
        <w:t xml:space="preserve">　　『於彼法中廣大勝解，獲大歡喜，廣為他說，常樂修行』，以上經文節取《唐譯》，這五句是《無量壽經》唐譯本。「蓋謂若人」，這是假設這個人，「能於淨宗妙法得廣大勝解，了達淨宗是心作佛、是心是佛，心佛不二」。真的明白、真的通達了，對於淨土法門，對於《無量壽經》。由此我們可知，如果我們對於「是心作佛，是心是佛，心佛不二」還不能了解的話，那經上講的這些殊勝利益就做不到。末後這兩句，「廣為他說」，這是利他；「常樂修行」是自利，這個樂是歡喜，這自利利他做不到。這兩句話是淨宗的核心，是心是佛，就是我們當前一念這個心，這個心就是佛；現在這一念心當中念阿彌陀佛，那就是是心作佛，心佛是一不是二。</w:t>
      </w:r>
      <w:r>
        <w:t xml:space="preserve"> </w:t>
      </w:r>
    </w:p>
    <w:p w14:paraId="4A05D42A" w14:textId="77777777" w:rsidR="000601FE" w:rsidRDefault="000601FE">
      <w:pPr>
        <w:pStyle w:val="a3"/>
      </w:pPr>
      <w:r>
        <w:t xml:space="preserve">　　我是從這個地方把淨業三福第三福那一句搞清楚，我記得是好幾年的時間，這個問題才解決。第三福說「發菩提心，深信因果」，我就是這一句話搞不清楚。因為第三福是菩薩，不是普通人。他深信因果擺在第一、擺在第二，我都不懷疑，我很容易接受。為什麼？我們普通凡人都相信因果報應，難道菩薩不相信？怎麼想也想不通，三福第一條是人天，第二條是小乘，第三條是菩薩，為什麼菩薩還要特別講深信因果？搞了好幾年之後，就是這兩句，「是心是佛，是心作佛」，菩薩不知道這個因果，所以他就有障礙，他成不了佛。這個因果是什麼？念阿彌陀佛是因，到極樂世界去作佛是果，深信這個因果，不是普通的因果。善有善果，惡有惡報，我們都知道，這個很淺顯。但是念佛是因，成佛是果，真的很多菩薩不知道。這是淨宗的妙法，無比的殊勝。我們真的理解、明瞭、通達，你決定一心專念阿彌陀佛，你肯定一切萬緣統統放下。真搞清楚、真搞明白了，什麼都不要了。　　</w:t>
      </w:r>
    </w:p>
    <w:sectPr w:rsidR="000601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377BD" w14:textId="77777777" w:rsidR="000601FE" w:rsidRDefault="000601FE" w:rsidP="00331C2C">
      <w:r>
        <w:separator/>
      </w:r>
    </w:p>
  </w:endnote>
  <w:endnote w:type="continuationSeparator" w:id="0">
    <w:p w14:paraId="7A610281" w14:textId="77777777" w:rsidR="000601FE" w:rsidRDefault="000601FE" w:rsidP="00331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4B84A" w14:textId="77777777" w:rsidR="000601FE" w:rsidRDefault="000601FE" w:rsidP="00331C2C">
      <w:r>
        <w:separator/>
      </w:r>
    </w:p>
  </w:footnote>
  <w:footnote w:type="continuationSeparator" w:id="0">
    <w:p w14:paraId="3AE76AFD" w14:textId="77777777" w:rsidR="000601FE" w:rsidRDefault="000601FE" w:rsidP="00331C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2C"/>
    <w:rsid w:val="000601FE"/>
    <w:rsid w:val="00331C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BDF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1C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1C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1C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1C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