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247B3" w14:textId="77777777" w:rsidR="00DD06D0" w:rsidRDefault="00DD06D0">
      <w:r>
        <w:t>法音普薰集</w:t>
      </w:r>
      <w:r>
        <w:t>—</w:t>
      </w:r>
      <w:r>
        <w:t>遇到毀謗時怎麼辦？　　（第二十五集）　　檔名：</w:t>
      </w:r>
      <w:r>
        <w:t xml:space="preserve">29-511-0025 </w:t>
      </w:r>
    </w:p>
    <w:p w14:paraId="07E58D3A" w14:textId="77777777" w:rsidR="00DD06D0" w:rsidRDefault="00DD06D0">
      <w:pPr>
        <w:pStyle w:val="a3"/>
      </w:pPr>
      <w:r>
        <w:t xml:space="preserve">　　你為什麼會發脾氣？當然看到別人把事情做錯了，得罪於我，我才會發脾氣。人為什麼把事情做錯？為什麼會得罪我？要多想一想。這個人毀謗我、侮辱我、傷害我，我要想一想：他為什麼會有這些行為？他對我不了解，對我有誤會，我們彼此之間沒有良好的管道溝通，所以才有這樣的現象。這個事情不能怪他，我自己也有不是處。縱然自己沒有不是處，過失都在他那一邊，與我又有何干？佛在《無量壽經》上說得好，特別是我們處現代的社會，看到許多人為非作歹，使我們自己有時候確確實實好像不能忍受，佛在經上告訴我們，這些人為什麼會有這種行為？「先人不善，不識道德，無有語者，殊無怪也。」佛說這個話多溫和！這些人，他的父母、他的長輩不懂得仁義道德，沒有好好的教導他，所以他才犯過，才做一些違背法紀的事情。我們看到了、聽到了，應當原諒他，不能夠責怪他。這樣的心多平和，這個心量多偉大！我們應當要學習。不可以責怪他。即使教導他，他還犯過失，我們也要回頭反省，「我教導得不夠好，我教得不夠圓滿，我教導他，他為什麼還做不到？」不要把過失都推給別人，應當回過頭來自己好好想想。　　</w:t>
      </w:r>
    </w:p>
    <w:sectPr w:rsidR="00DD06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E4B73" w14:textId="77777777" w:rsidR="00DD06D0" w:rsidRDefault="00DD06D0" w:rsidP="00C81757">
      <w:r>
        <w:separator/>
      </w:r>
    </w:p>
  </w:endnote>
  <w:endnote w:type="continuationSeparator" w:id="0">
    <w:p w14:paraId="036A9E61" w14:textId="77777777" w:rsidR="00DD06D0" w:rsidRDefault="00DD06D0" w:rsidP="00C81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8D121" w14:textId="77777777" w:rsidR="00DD06D0" w:rsidRDefault="00DD06D0" w:rsidP="00C81757">
      <w:r>
        <w:separator/>
      </w:r>
    </w:p>
  </w:footnote>
  <w:footnote w:type="continuationSeparator" w:id="0">
    <w:p w14:paraId="13E72F69" w14:textId="77777777" w:rsidR="00DD06D0" w:rsidRDefault="00DD06D0" w:rsidP="00C817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757"/>
    <w:rsid w:val="00B519F4"/>
    <w:rsid w:val="00C81757"/>
    <w:rsid w:val="00DD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EF2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17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17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17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17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