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AC9E" w14:textId="77777777" w:rsidR="00822549" w:rsidRDefault="00822549">
      <w:r>
        <w:t>法音普薰集</w:t>
      </w:r>
      <w:r>
        <w:t>—</w:t>
      </w:r>
      <w:r>
        <w:t>我們最大的業障是什麼？　　（第四十二集）　　檔名：</w:t>
      </w:r>
      <w:r>
        <w:t xml:space="preserve">29-511-0042 </w:t>
      </w:r>
    </w:p>
    <w:p w14:paraId="032200EB" w14:textId="77777777" w:rsidR="00822549" w:rsidRDefault="00822549">
      <w:pPr>
        <w:pStyle w:val="a3"/>
      </w:pPr>
      <w:r>
        <w:t xml:space="preserve">　　我們自己的業障，最大的業障，剛才講的，自私自利。自私自利裡面最嚴重的是貪心。從貪心裡面貪得了，於是就吝嗇；貪不到就生瞋恚、生嫉妒，由於嫉妒、瞋恚，造作無量無邊的罪業。既然造作罪業，就不能沒有果報。世出世間，真相說穿了，無非是因緣果報而已。所以佛家常講：「萬法皆空，因果不空」，因果何以不空？因果轉變不空，這個轉變是剎那在轉變，念念不住；因果相續不空、因果循環不空。佛對於這些事情了解得最透徹、最清楚，勸我們修善，勸我們斷惡。　　</w:t>
      </w:r>
    </w:p>
    <w:sectPr w:rsidR="008225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7316" w14:textId="77777777" w:rsidR="00822549" w:rsidRDefault="00822549" w:rsidP="00DE57D0">
      <w:r>
        <w:separator/>
      </w:r>
    </w:p>
  </w:endnote>
  <w:endnote w:type="continuationSeparator" w:id="0">
    <w:p w14:paraId="78040E50" w14:textId="77777777" w:rsidR="00822549" w:rsidRDefault="00822549" w:rsidP="00DE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0673" w14:textId="77777777" w:rsidR="00822549" w:rsidRDefault="00822549" w:rsidP="00DE57D0">
      <w:r>
        <w:separator/>
      </w:r>
    </w:p>
  </w:footnote>
  <w:footnote w:type="continuationSeparator" w:id="0">
    <w:p w14:paraId="588F1B72" w14:textId="77777777" w:rsidR="00822549" w:rsidRDefault="00822549" w:rsidP="00DE57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D0"/>
    <w:rsid w:val="00822549"/>
    <w:rsid w:val="00B519F4"/>
    <w:rsid w:val="00DE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CC2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7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7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7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7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