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0E22" w14:textId="77777777" w:rsidR="004A080E" w:rsidRDefault="004A080E">
      <w:r>
        <w:t>法音普薰集</w:t>
      </w:r>
      <w:r>
        <w:t>—</w:t>
      </w:r>
      <w:r>
        <w:t>貪心起來了怎麼辦？　　（第四十五集）　　檔名：</w:t>
      </w:r>
      <w:r>
        <w:t xml:space="preserve">29-511-0045 </w:t>
      </w:r>
    </w:p>
    <w:p w14:paraId="21551681" w14:textId="77777777" w:rsidR="004A080E" w:rsidRDefault="004A080E">
      <w:pPr>
        <w:pStyle w:val="a3"/>
      </w:pPr>
      <w:r>
        <w:t xml:space="preserve">　　這種境界現前，我們這個貪心起來，貪色、貪名、貪享受，瞋恚心起來了發脾氣，貪瞋痴現前了，這就是過失，這就叫造業。這個時候怎麼辦？才有這個念頭，馬上換成阿彌陀佛；把這個好色的念頭打掉了，好名的念頭打掉了，貪圖享受的念頭打掉了，發脾氣的念頭也打掉了，念佛的功德在此地。用其他的方法當然也可以，但是念佛的方法最方便、最簡單，也最有效果。　　</w:t>
      </w:r>
    </w:p>
    <w:sectPr w:rsidR="004A08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98E3" w14:textId="77777777" w:rsidR="004A080E" w:rsidRDefault="004A080E" w:rsidP="00F47363">
      <w:r>
        <w:separator/>
      </w:r>
    </w:p>
  </w:endnote>
  <w:endnote w:type="continuationSeparator" w:id="0">
    <w:p w14:paraId="3CC93779" w14:textId="77777777" w:rsidR="004A080E" w:rsidRDefault="004A080E" w:rsidP="00F4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01D5" w14:textId="77777777" w:rsidR="004A080E" w:rsidRDefault="004A080E" w:rsidP="00F47363">
      <w:r>
        <w:separator/>
      </w:r>
    </w:p>
  </w:footnote>
  <w:footnote w:type="continuationSeparator" w:id="0">
    <w:p w14:paraId="36B90307" w14:textId="77777777" w:rsidR="004A080E" w:rsidRDefault="004A080E" w:rsidP="00F47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63"/>
    <w:rsid w:val="004A080E"/>
    <w:rsid w:val="00B519F4"/>
    <w:rsid w:val="00F4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6C0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