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D14B" w14:textId="77777777" w:rsidR="00B02426" w:rsidRDefault="00B02426">
      <w:r>
        <w:t>法音普薰集</w:t>
      </w:r>
      <w:r>
        <w:t>—</w:t>
      </w:r>
      <w:r>
        <w:t>如何處世待人接物？　　（第四十七集）　　檔名：</w:t>
      </w:r>
      <w:r>
        <w:t xml:space="preserve">29-511-0047 </w:t>
      </w:r>
    </w:p>
    <w:p w14:paraId="4F03F0E7" w14:textId="77777777" w:rsidR="00B02426" w:rsidRDefault="00B02426">
      <w:pPr>
        <w:pStyle w:val="a3"/>
      </w:pPr>
      <w:r>
        <w:t xml:space="preserve">　　無論是順境、逆境，無論是善緣、惡緣；佛家講緣是對人事，人事環境是用緣來說，物質環境是講境界，順境、逆境是講物質環境，善緣、惡緣是講人事環境。我們必須在這些境緣當中磨鍊自己，一定要以真誠心處事待人接物。別人用虛妄心對我，沒有關係，那是他，與我不相干；甚至於他毀謗我、侮辱我、陷害我，與我都不相干。我們自己要一味真誠待人，這個樣子轉禍為福，轉得快，災消福來。</w:t>
      </w:r>
      <w:r>
        <w:t xml:space="preserve"> </w:t>
      </w:r>
    </w:p>
    <w:p w14:paraId="653DB2C5" w14:textId="77777777" w:rsidR="00B02426" w:rsidRDefault="00B02426">
      <w:pPr>
        <w:pStyle w:val="a3"/>
      </w:pPr>
      <w:r>
        <w:t xml:space="preserve">　　處事待人接物要用清淨心，清淨就是一塵不染，順境絕不起貪戀的心，惡境絕不起瞋恚心，永遠保持自己心地的清淨平等，自然就生智慧。愛護一切眾生的心油然而生，這叫慈悲心。慈悲心，兩、三年有效驗。　　</w:t>
      </w:r>
    </w:p>
    <w:sectPr w:rsidR="00B024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898C" w14:textId="77777777" w:rsidR="00B02426" w:rsidRDefault="00B02426" w:rsidP="007161CE">
      <w:r>
        <w:separator/>
      </w:r>
    </w:p>
  </w:endnote>
  <w:endnote w:type="continuationSeparator" w:id="0">
    <w:p w14:paraId="55F2DD94" w14:textId="77777777" w:rsidR="00B02426" w:rsidRDefault="00B02426" w:rsidP="0071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8B2F" w14:textId="77777777" w:rsidR="00B02426" w:rsidRDefault="00B02426" w:rsidP="007161CE">
      <w:r>
        <w:separator/>
      </w:r>
    </w:p>
  </w:footnote>
  <w:footnote w:type="continuationSeparator" w:id="0">
    <w:p w14:paraId="00E48EE9" w14:textId="77777777" w:rsidR="00B02426" w:rsidRDefault="00B02426" w:rsidP="00716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CE"/>
    <w:rsid w:val="007161CE"/>
    <w:rsid w:val="00B024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D10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