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12B8" w14:textId="77777777" w:rsidR="002343F1" w:rsidRDefault="002343F1">
      <w:r>
        <w:t>法音普薰集</w:t>
      </w:r>
      <w:r>
        <w:t>—</w:t>
      </w:r>
      <w:r>
        <w:t>為什麼人的命有富貴貧賤？　　（第七十五集）　　檔名：</w:t>
      </w:r>
      <w:r>
        <w:t xml:space="preserve">29-511-0075 </w:t>
      </w:r>
    </w:p>
    <w:p w14:paraId="7C850537" w14:textId="77777777" w:rsidR="002343F1" w:rsidRDefault="002343F1">
      <w:pPr>
        <w:pStyle w:val="a3"/>
      </w:pPr>
      <w:r>
        <w:t xml:space="preserve">　　我們都得人身，是同一個引業；但是每一個人面貌不相同，生活環境不相同，富貴貧賤不相同，這是另外一個力量，這個力量叫「滿業」。滿業是什麼？善惡業。過去生中修的善業多，這一生就富貴；修的善業少，這一生就比較貧困。兩種力量，我們自己要清楚、要明瞭，然後就不會怨天尤人。縱然生活在逆境當中，也不會怨天尤人，為什麼？過去生中造的不善因，這一生得的這果報，自己當然能夠樂於接受，這個人才能夠修道，才能夠行道。如果怨天尤人，這個念頭就造罪業。　　</w:t>
      </w:r>
    </w:p>
    <w:sectPr w:rsidR="002343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14C75" w14:textId="77777777" w:rsidR="002343F1" w:rsidRDefault="002343F1" w:rsidP="004E2F0E">
      <w:r>
        <w:separator/>
      </w:r>
    </w:p>
  </w:endnote>
  <w:endnote w:type="continuationSeparator" w:id="0">
    <w:p w14:paraId="10F1A7FA" w14:textId="77777777" w:rsidR="002343F1" w:rsidRDefault="002343F1" w:rsidP="004E2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0853" w14:textId="77777777" w:rsidR="002343F1" w:rsidRDefault="002343F1" w:rsidP="004E2F0E">
      <w:r>
        <w:separator/>
      </w:r>
    </w:p>
  </w:footnote>
  <w:footnote w:type="continuationSeparator" w:id="0">
    <w:p w14:paraId="29E46A8D" w14:textId="77777777" w:rsidR="002343F1" w:rsidRDefault="002343F1" w:rsidP="004E2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0E"/>
    <w:rsid w:val="002343F1"/>
    <w:rsid w:val="004E2F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6F3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