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F4892" w14:textId="77777777" w:rsidR="00822BDA" w:rsidRDefault="00822BDA">
      <w:r>
        <w:t>法音普薰集</w:t>
      </w:r>
      <w:r>
        <w:t>—</w:t>
      </w:r>
      <w:r>
        <w:t>修「戒定慧」的方法　　（第一二三集）　　檔名：</w:t>
      </w:r>
      <w:r>
        <w:t xml:space="preserve">29-511-0123 </w:t>
      </w:r>
    </w:p>
    <w:p w14:paraId="18FFC296" w14:textId="77777777" w:rsidR="00822BDA" w:rsidRDefault="00822BDA">
      <w:pPr>
        <w:pStyle w:val="a3"/>
      </w:pPr>
      <w:r>
        <w:t xml:space="preserve">　　阿彌陀佛在哪裡？《無量壽經》、《阿彌陀經》、《觀無量壽佛經》就是阿彌陀佛，一心一意專攻這三部經。讀經就是修戒定慧。但是讀經不能思考，不能想這個經裡什麼意思；一想那就完了，戒定慧都沒有了。所以念就叫老實念，老實念是修「戒定慧」。</w:t>
      </w:r>
      <w:r>
        <w:t xml:space="preserve"> </w:t>
      </w:r>
    </w:p>
    <w:p w14:paraId="26D8BB27" w14:textId="77777777" w:rsidR="00822BDA" w:rsidRDefault="00822BDA">
      <w:pPr>
        <w:pStyle w:val="a3"/>
      </w:pPr>
      <w:r>
        <w:t xml:space="preserve">　　怎麼說老實念就是修「戒定慧」？諸位要曉得，戒律再多，它的精神只有兩句話：「諸惡莫作，眾善奉行。」「諸惡莫作」是小乘戒，「眾善奉行」是菩薩戒，一切戒律都不外乎這兩句。我們讀經，恭恭敬敬的讀，一心一意的讀，沒有分別，沒有執著，沒有妄想，你想想看，你還做什麼惡？你這個「諸惡」不就沒做了。可見得小乘戒圓滿了，不要一條一條修，你圓修了，一切圓滿了。經典是佛從真如本性裡面流露出來的真言，沒有比這個更善的了，讀經就是「眾善奉行」，所有一切戒律都圓滿了，「戒」學圓滿了；一心讀誦就是修「定」，定裡面沒有妄想，沒有懷疑，沒有雜念；這個經從頭到尾念得字字清楚，沒有念錯、沒有念漏，這就是「慧」，這個就是根本智。</w:t>
      </w:r>
      <w:r>
        <w:t xml:space="preserve"> </w:t>
      </w:r>
    </w:p>
    <w:p w14:paraId="639085A8" w14:textId="77777777" w:rsidR="00822BDA" w:rsidRDefault="00822BDA">
      <w:pPr>
        <w:pStyle w:val="a3"/>
      </w:pPr>
      <w:r>
        <w:t xml:space="preserve">　　所以你要曉得念一個鐘點，就是一個鐘點在真修。假如你一面念，一面想裡面的意思，戒沒有了，定也沒有了，慧也沒有了，那是念我們世間的書，那就完全錯了。所以讀經無論你一天讀一個小時、讀半個小時，或者是有時間能讀兩個小時，你能夠用這個方法，讀經是修戒定慧，禪宗裡面禪堂的打坐也是修戒定慧，密宗裡面持咒也是修戒定慧。我們用讀經的方法修戒定慧，方法不一樣，功夫成就沒有兩樣，所以說「法門平等，無有高下」，這個要知道。　　</w:t>
      </w:r>
    </w:p>
    <w:sectPr w:rsidR="00822B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40D85" w14:textId="77777777" w:rsidR="00822BDA" w:rsidRDefault="00822BDA" w:rsidP="00C22254">
      <w:r>
        <w:separator/>
      </w:r>
    </w:p>
  </w:endnote>
  <w:endnote w:type="continuationSeparator" w:id="0">
    <w:p w14:paraId="76B1AA0A" w14:textId="77777777" w:rsidR="00822BDA" w:rsidRDefault="00822BDA" w:rsidP="00C22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6B92C" w14:textId="77777777" w:rsidR="00822BDA" w:rsidRDefault="00822BDA" w:rsidP="00C22254">
      <w:r>
        <w:separator/>
      </w:r>
    </w:p>
  </w:footnote>
  <w:footnote w:type="continuationSeparator" w:id="0">
    <w:p w14:paraId="1A1C5695" w14:textId="77777777" w:rsidR="00822BDA" w:rsidRDefault="00822BDA" w:rsidP="00C222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254"/>
    <w:rsid w:val="00822BDA"/>
    <w:rsid w:val="00B519F4"/>
    <w:rsid w:val="00C2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279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22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2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2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2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