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0E210B" w14:textId="77777777" w:rsidR="00565E51" w:rsidRDefault="00565E51">
      <w:r>
        <w:t>法音普薰集</w:t>
      </w:r>
      <w:r>
        <w:t>—</w:t>
      </w:r>
      <w:r>
        <w:t>「貪心」的果報　　（第一四Ｏ集）　　檔名：</w:t>
      </w:r>
      <w:r>
        <w:t xml:space="preserve">29-511-0140 </w:t>
      </w:r>
    </w:p>
    <w:p w14:paraId="62167ABC" w14:textId="77777777" w:rsidR="00565E51" w:rsidRDefault="00565E51">
      <w:pPr>
        <w:pStyle w:val="a3"/>
      </w:pPr>
      <w:r>
        <w:t xml:space="preserve">　　餓鬼道第一個業因是貪心，貪而無厭。其實哪一道十惡業都具足，但是十惡裡頭偏重在哪一條，佛就用這個來說第一個業因，所以貪心變餓鬼。有人學佛，世間法放下了，貪愛佛法，他到哪裡去？還是墮餓鬼道。貪心墮餓鬼，決定不是說我把貪的對象換一換，我不貪世法了，我貪佛法，不管你世法佛法，你的貪心沒有變。所以佛在《金剛經》上勸導我們：「法尚應捨，何況非法」，佛法都不可以貪。佛法是教我們明理、教我們覺悟就好，不能在佛法裡起貪心，世出世間法起貪心都是在餓鬼道，這個要懂得。　　</w:t>
      </w:r>
    </w:p>
    <w:sectPr w:rsidR="00565E5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5ACB7E" w14:textId="77777777" w:rsidR="00565E51" w:rsidRDefault="00565E51" w:rsidP="00191EC6">
      <w:r>
        <w:separator/>
      </w:r>
    </w:p>
  </w:endnote>
  <w:endnote w:type="continuationSeparator" w:id="0">
    <w:p w14:paraId="0AD02D2F" w14:textId="77777777" w:rsidR="00565E51" w:rsidRDefault="00565E51" w:rsidP="00191E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F47C30" w14:textId="77777777" w:rsidR="00565E51" w:rsidRDefault="00565E51" w:rsidP="00191EC6">
      <w:r>
        <w:separator/>
      </w:r>
    </w:p>
  </w:footnote>
  <w:footnote w:type="continuationSeparator" w:id="0">
    <w:p w14:paraId="269DDFDF" w14:textId="77777777" w:rsidR="00565E51" w:rsidRDefault="00565E51" w:rsidP="00191EC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1EC6"/>
    <w:rsid w:val="00191EC6"/>
    <w:rsid w:val="00565E51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0AEDC95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91EC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91EC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91EC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91EC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40</Words>
  <Characters>230</Characters>
  <Application>Microsoft Office Word</Application>
  <DocSecurity>0</DocSecurity>
  <Lines>1</Lines>
  <Paragraphs>1</Paragraphs>
  <ScaleCrop>false</ScaleCrop>
  <Company/>
  <LinksUpToDate>false</LinksUpToDate>
  <CharactersWithSpaces>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2026-08-12T05:24:00Z</dcterms:created>
  <dcterms:modified xsi:type="dcterms:W3CDTF">2026-08-12T05:24:00Z</dcterms:modified>
</cp:coreProperties>
</file>