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B8C8" w14:textId="77777777" w:rsidR="00EE6E6E" w:rsidRDefault="00EE6E6E">
      <w:r>
        <w:t>法音普薰集</w:t>
      </w:r>
      <w:r>
        <w:t>—</w:t>
      </w:r>
      <w:r>
        <w:t>萬法皆空，因果不空　　（第一四五集）　　檔名：</w:t>
      </w:r>
      <w:r>
        <w:t xml:space="preserve">29-511-0145 </w:t>
      </w:r>
    </w:p>
    <w:p w14:paraId="0A97BEE1" w14:textId="77777777" w:rsidR="00EE6E6E" w:rsidRDefault="00EE6E6E">
      <w:pPr>
        <w:pStyle w:val="a3"/>
      </w:pPr>
      <w:r>
        <w:t xml:space="preserve">　　佛法裡頭常說：「萬法皆空，因果不空」，世出世間法就是一個因果。因果何以不空？那我們要問：「因果在不在萬法之內？」在。萬法皆空，為什麼它不空？這個要搞清楚。因會變成果，因空了，果又會變成下面一個因，果也空了，所以因與果都不可得。所謂「因果不空」是說什麼？因果轉變不空，它互相轉變，因轉變成果，果轉變成因，因又變成果，果又變成因，轉變不空，相續不空，循環不空，講這三樁事情：轉變、相續、循環，你要明白這個道理。　　</w:t>
      </w:r>
    </w:p>
    <w:sectPr w:rsidR="00EE6E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6483" w14:textId="77777777" w:rsidR="00EE6E6E" w:rsidRDefault="00EE6E6E" w:rsidP="00B27A1C">
      <w:r>
        <w:separator/>
      </w:r>
    </w:p>
  </w:endnote>
  <w:endnote w:type="continuationSeparator" w:id="0">
    <w:p w14:paraId="4383EB6C" w14:textId="77777777" w:rsidR="00EE6E6E" w:rsidRDefault="00EE6E6E" w:rsidP="00B2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5BFA8" w14:textId="77777777" w:rsidR="00EE6E6E" w:rsidRDefault="00EE6E6E" w:rsidP="00B27A1C">
      <w:r>
        <w:separator/>
      </w:r>
    </w:p>
  </w:footnote>
  <w:footnote w:type="continuationSeparator" w:id="0">
    <w:p w14:paraId="4C1C7660" w14:textId="77777777" w:rsidR="00EE6E6E" w:rsidRDefault="00EE6E6E" w:rsidP="00B27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1C"/>
    <w:rsid w:val="00B27A1C"/>
    <w:rsid w:val="00B519F4"/>
    <w:rsid w:val="00E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AB4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