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A8B6" w14:textId="77777777" w:rsidR="00CB04B0" w:rsidRDefault="00CB04B0">
      <w:r>
        <w:t>法音普薰集</w:t>
      </w:r>
      <w:r>
        <w:t>—</w:t>
      </w:r>
      <w:r>
        <w:t>學佛遇到疑惑時怎麼辦？　　（第一四九集）　　檔名：</w:t>
      </w:r>
      <w:r>
        <w:t xml:space="preserve">29-511-0149 </w:t>
      </w:r>
    </w:p>
    <w:p w14:paraId="5491093C" w14:textId="77777777" w:rsidR="00CB04B0" w:rsidRDefault="00CB04B0">
      <w:pPr>
        <w:pStyle w:val="a3"/>
      </w:pPr>
      <w:r>
        <w:t xml:space="preserve">　　我們見一切法還要不要去追究？世間人常講「打破砂鍋問到底」，佛法是許可的，許可你問到底，決定沒有忌諱。為什麼？有疑，這個疑惑一定要斷除，問到底是幫助你斷疑生信。所有疑惑都沒有了，人就老實了。你還有疑慮，你怎麼可能老實？老實人有兩種：一種是善根福德深厚；另外一種，就是把這些事實真相，都搞清楚、搞明白了，沒有懷疑，他老實了。中間這一段佔決定大多數，所謂既不是上智，又不是下愚，這樣的人難度，他妄想多，分別執著多。老實人看到這一句話，心就定了。　　</w:t>
      </w:r>
    </w:p>
    <w:sectPr w:rsidR="00CB04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6078C" w14:textId="77777777" w:rsidR="00CB04B0" w:rsidRDefault="00CB04B0" w:rsidP="00DA1D38">
      <w:r>
        <w:separator/>
      </w:r>
    </w:p>
  </w:endnote>
  <w:endnote w:type="continuationSeparator" w:id="0">
    <w:p w14:paraId="27E1E974" w14:textId="77777777" w:rsidR="00CB04B0" w:rsidRDefault="00CB04B0" w:rsidP="00DA1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58C7C" w14:textId="77777777" w:rsidR="00CB04B0" w:rsidRDefault="00CB04B0" w:rsidP="00DA1D38">
      <w:r>
        <w:separator/>
      </w:r>
    </w:p>
  </w:footnote>
  <w:footnote w:type="continuationSeparator" w:id="0">
    <w:p w14:paraId="3CB8F857" w14:textId="77777777" w:rsidR="00CB04B0" w:rsidRDefault="00CB04B0" w:rsidP="00DA1D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38"/>
    <w:rsid w:val="00B519F4"/>
    <w:rsid w:val="00CB04B0"/>
    <w:rsid w:val="00DA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223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D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D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D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D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