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F578B" w14:textId="77777777" w:rsidR="00AE12E5" w:rsidRDefault="00AE12E5">
      <w:r>
        <w:t>法音普薰集</w:t>
      </w:r>
      <w:r>
        <w:t>—</w:t>
      </w:r>
      <w:r>
        <w:t>供佛像的意義　　（第一五一集）　　檔名：</w:t>
      </w:r>
      <w:r>
        <w:t xml:space="preserve">29-511-0151 </w:t>
      </w:r>
    </w:p>
    <w:p w14:paraId="541E4E0E" w14:textId="77777777" w:rsidR="00AE12E5" w:rsidRDefault="00AE12E5">
      <w:pPr>
        <w:pStyle w:val="a3"/>
      </w:pPr>
      <w:r>
        <w:t xml:space="preserve">　　我們供養佛像的用意在哪裡？就在此地，讓我們看到佛像，想到佛起心動念、言語造作全是圓滿的福德，就是《金剛經》上所說的「應無所住，而生其心」。生什麼心？生與一切眾生感應道交的心，眾生有感，佛立刻就有應。這個生心我們很難理解，因為我們凡夫講到生心就會起心動念。佛有沒有起心動念？沒有，所以這個生心的意思很深很深。佛與菩薩隨類現身，沒有妄想分別執著，佛與一切眾生隨機說法，也沒有一切妄想分別執著，我們要了解這事實真相。　　</w:t>
      </w:r>
    </w:p>
    <w:sectPr w:rsidR="00AE12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85624" w14:textId="77777777" w:rsidR="00AE12E5" w:rsidRDefault="00AE12E5" w:rsidP="00BE59A9">
      <w:r>
        <w:separator/>
      </w:r>
    </w:p>
  </w:endnote>
  <w:endnote w:type="continuationSeparator" w:id="0">
    <w:p w14:paraId="52A80A95" w14:textId="77777777" w:rsidR="00AE12E5" w:rsidRDefault="00AE12E5" w:rsidP="00BE5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F31D1" w14:textId="77777777" w:rsidR="00AE12E5" w:rsidRDefault="00AE12E5" w:rsidP="00BE59A9">
      <w:r>
        <w:separator/>
      </w:r>
    </w:p>
  </w:footnote>
  <w:footnote w:type="continuationSeparator" w:id="0">
    <w:p w14:paraId="2574B285" w14:textId="77777777" w:rsidR="00AE12E5" w:rsidRDefault="00AE12E5" w:rsidP="00BE59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A9"/>
    <w:rsid w:val="00AE12E5"/>
    <w:rsid w:val="00B519F4"/>
    <w:rsid w:val="00BE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FFF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59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59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59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59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