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4087" w14:textId="77777777" w:rsidR="00476E23" w:rsidRDefault="00476E23">
      <w:r>
        <w:t>法音普薰集</w:t>
      </w:r>
      <w:r>
        <w:t>—</w:t>
      </w:r>
      <w:r>
        <w:t>修行切莫偏重在一邊　　（第一五六集）　　檔名：</w:t>
      </w:r>
      <w:r>
        <w:t xml:space="preserve">29-511-0156 </w:t>
      </w:r>
    </w:p>
    <w:p w14:paraId="7A8A7612" w14:textId="77777777" w:rsidR="00476E23" w:rsidRDefault="00476E23">
      <w:pPr>
        <w:pStyle w:val="a3"/>
      </w:pPr>
      <w:r>
        <w:t xml:space="preserve">　　我們今天辦事情很辛苦，是過去生中沒有修福。我一生不能建道場，為什麼不能？沒有助手。我們能怪別人嗎？不能怪，只怪自己過去生中疏忽了，沒修福報。佛經上講的「修慧不修福，羅漢托空缽」，阿羅漢證果了，到外面去托缽沒有人供養。我們的修學偏在一邊，偏重在修慧，疏忽了修福，清清楚楚，所以我們不怨天、不尤人，這一生多修福，來生的狀況跟這一生就不一樣。業因果報，絲毫不爽，理事呈現在我們面前，這麼樣的清楚，這麼樣的明白，我們要能體會，要能通達，要知道現前怎樣作法，知道起心動念、言語造作，都有業因果報。　　</w:t>
      </w:r>
    </w:p>
    <w:sectPr w:rsidR="00476E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2BF33" w14:textId="77777777" w:rsidR="00476E23" w:rsidRDefault="00476E23" w:rsidP="00721373">
      <w:r>
        <w:separator/>
      </w:r>
    </w:p>
  </w:endnote>
  <w:endnote w:type="continuationSeparator" w:id="0">
    <w:p w14:paraId="460BB379" w14:textId="77777777" w:rsidR="00476E23" w:rsidRDefault="00476E23" w:rsidP="00721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E5DA5" w14:textId="77777777" w:rsidR="00476E23" w:rsidRDefault="00476E23" w:rsidP="00721373">
      <w:r>
        <w:separator/>
      </w:r>
    </w:p>
  </w:footnote>
  <w:footnote w:type="continuationSeparator" w:id="0">
    <w:p w14:paraId="3C198754" w14:textId="77777777" w:rsidR="00476E23" w:rsidRDefault="00476E23" w:rsidP="007213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73"/>
    <w:rsid w:val="00476E23"/>
    <w:rsid w:val="007213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4AC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3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3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3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3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