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DF2A" w14:textId="77777777" w:rsidR="00EC0769" w:rsidRDefault="00EC0769">
      <w:r>
        <w:t>法音普薰集</w:t>
      </w:r>
      <w:r>
        <w:t>—</w:t>
      </w:r>
      <w:r>
        <w:t>「一念之差」的故事　　（第一五七集）　　檔名：</w:t>
      </w:r>
      <w:r>
        <w:t xml:space="preserve">29-511-0157 </w:t>
      </w:r>
    </w:p>
    <w:p w14:paraId="0C7B336A" w14:textId="77777777" w:rsidR="00EC0769" w:rsidRDefault="00EC0769">
      <w:pPr>
        <w:pStyle w:val="a3"/>
      </w:pPr>
      <w:r>
        <w:t xml:space="preserve">　　安世高的同學，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 xml:space="preserve">亭湖的龍王，不就是很好的例子？他跟安世高是同學，安世高在傳記裡面，讚歎這個同學「明經好施」，對教理通達，喜歡講經，是講經的法師，又喜歡布施，財布施、法布施、無畏布施都幹。分衛，是到外面托缽，托的菜飯不好，他心裡就不歡喜，就覺得「我對社會貢獻這麼多，你看看社會對我的回報」，心裡感覺到難過，就是這一個惡念墮到畜生道，去作龍王。我們今天的德行、福德比不上他，我們造的惡業比他更重，他墮龍王，我們墮到哪裡去了？鬼王都得不到。我們看這些公案，要自己認真去警惕，一念之差，萬劫難復，這是實話。　　</w:t>
      </w:r>
    </w:p>
    <w:sectPr w:rsidR="00EC07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C28E" w14:textId="77777777" w:rsidR="00EC0769" w:rsidRDefault="00EC0769" w:rsidP="004726EA">
      <w:r>
        <w:separator/>
      </w:r>
    </w:p>
  </w:endnote>
  <w:endnote w:type="continuationSeparator" w:id="0">
    <w:p w14:paraId="4E21E84D" w14:textId="77777777" w:rsidR="00EC0769" w:rsidRDefault="00EC0769" w:rsidP="0047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5F7B" w14:textId="77777777" w:rsidR="00EC0769" w:rsidRDefault="00EC0769" w:rsidP="004726EA">
      <w:r>
        <w:separator/>
      </w:r>
    </w:p>
  </w:footnote>
  <w:footnote w:type="continuationSeparator" w:id="0">
    <w:p w14:paraId="0D041BB7" w14:textId="77777777" w:rsidR="00EC0769" w:rsidRDefault="00EC0769" w:rsidP="00472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EA"/>
    <w:rsid w:val="004726EA"/>
    <w:rsid w:val="00B519F4"/>
    <w:rsid w:val="00EC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DEA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