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564F" w14:textId="77777777" w:rsidR="00C330F8" w:rsidRDefault="00C330F8">
      <w:r>
        <w:t>法音普薰集</w:t>
      </w:r>
      <w:r>
        <w:t>—</w:t>
      </w:r>
      <w:r>
        <w:t>善業、惡業能互相抵銷嗎？　　（第一九六集）　　檔名：</w:t>
      </w:r>
      <w:r>
        <w:t xml:space="preserve">29-511-0196 </w:t>
      </w:r>
    </w:p>
    <w:p w14:paraId="20D6DA29" w14:textId="77777777" w:rsidR="00C330F8" w:rsidRDefault="00C330F8">
      <w:pPr>
        <w:pStyle w:val="a3"/>
      </w:pPr>
      <w:r>
        <w:t xml:space="preserve">　　因果報應是世出世間的定律、真理，菩薩修行成了佛，也沒有辦法改變因果。這個道理在佛經裡面講得很多，講得很透徹，沒有法子改變因果。而且佛法裡面跟我們講的，確實想想看，是很有道理，善惡因果不能抵銷。不能說是我過去造了很多惡業，現在我都做善業了，我將善業來抵銷它，將功折罪；這個世間法有，佛法裡頭沒有，所以不能抵銷的，抵銷是不合道理。　　</w:t>
      </w:r>
    </w:p>
    <w:sectPr w:rsidR="00C330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B387C" w14:textId="77777777" w:rsidR="00C330F8" w:rsidRDefault="00C330F8" w:rsidP="009D0DB1">
      <w:r>
        <w:separator/>
      </w:r>
    </w:p>
  </w:endnote>
  <w:endnote w:type="continuationSeparator" w:id="0">
    <w:p w14:paraId="151A2EC3" w14:textId="77777777" w:rsidR="00C330F8" w:rsidRDefault="00C330F8" w:rsidP="009D0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FCE4F" w14:textId="77777777" w:rsidR="00C330F8" w:rsidRDefault="00C330F8" w:rsidP="009D0DB1">
      <w:r>
        <w:separator/>
      </w:r>
    </w:p>
  </w:footnote>
  <w:footnote w:type="continuationSeparator" w:id="0">
    <w:p w14:paraId="3247BBD4" w14:textId="77777777" w:rsidR="00C330F8" w:rsidRDefault="00C330F8" w:rsidP="009D0D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DB1"/>
    <w:rsid w:val="009D0DB1"/>
    <w:rsid w:val="00B519F4"/>
    <w:rsid w:val="00C33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7D575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0D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0D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0D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0D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2026-08-12T05:26:00Z</dcterms:created>
  <dcterms:modified xsi:type="dcterms:W3CDTF">2026-08-12T05:26:00Z</dcterms:modified>
</cp:coreProperties>
</file>