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759B" w14:textId="77777777" w:rsidR="00906347" w:rsidRDefault="00906347">
      <w:r>
        <w:t>法音普薰集</w:t>
      </w:r>
      <w:r>
        <w:t>—</w:t>
      </w:r>
      <w:r>
        <w:t>受惡報時，決不怨天尤人　　（第一九七集）　　檔名：</w:t>
      </w:r>
      <w:r>
        <w:t xml:space="preserve">29-511-0197 </w:t>
      </w:r>
    </w:p>
    <w:p w14:paraId="76D06EEE" w14:textId="77777777" w:rsidR="00906347" w:rsidRDefault="00906347">
      <w:pPr>
        <w:pStyle w:val="a3"/>
      </w:pPr>
      <w:r>
        <w:t xml:space="preserve">　　一切果報不是有人在主宰，佛菩薩不能主宰這個事情，閻羅王也沒有權力主宰，天神、上帝也主宰不了。什麼人作主？自己主宰自己，這個事在佛的經論裡面講得太多太多了。所以，我們縱然受了不善果報，決定不能夠怨天尤人。縱然是別人欺騙我們，毀謗我們，我們上了當，我們也不能夠怪他。為什麼？他那是個緣，我過去生中造作的不善，所以才遇到。如果我生生世世都行善，這個惡緣我不會遇到的。　　</w:t>
      </w:r>
    </w:p>
    <w:sectPr w:rsidR="009063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A1AE" w14:textId="77777777" w:rsidR="00906347" w:rsidRDefault="00906347" w:rsidP="008D620F">
      <w:r>
        <w:separator/>
      </w:r>
    </w:p>
  </w:endnote>
  <w:endnote w:type="continuationSeparator" w:id="0">
    <w:p w14:paraId="61B44E9D" w14:textId="77777777" w:rsidR="00906347" w:rsidRDefault="00906347" w:rsidP="008D6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47C0F" w14:textId="77777777" w:rsidR="00906347" w:rsidRDefault="00906347" w:rsidP="008D620F">
      <w:r>
        <w:separator/>
      </w:r>
    </w:p>
  </w:footnote>
  <w:footnote w:type="continuationSeparator" w:id="0">
    <w:p w14:paraId="3FDB8951" w14:textId="77777777" w:rsidR="00906347" w:rsidRDefault="00906347" w:rsidP="008D6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0F"/>
    <w:rsid w:val="008D620F"/>
    <w:rsid w:val="0090634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28A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