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10A7" w14:textId="77777777" w:rsidR="00A32BF2" w:rsidRDefault="00A32BF2">
      <w:r>
        <w:t>法音普薰集</w:t>
      </w:r>
      <w:r>
        <w:t>—</w:t>
      </w:r>
      <w:r>
        <w:t xml:space="preserve">為什麼佛法不離世間法？　　（第二三二集）　　</w:t>
      </w:r>
      <w:r>
        <w:t>2000/8/26</w:t>
      </w:r>
      <w:r>
        <w:t xml:space="preserve">　　新加坡淨宗學會（節錄自佛說十善業道經</w:t>
      </w:r>
      <w:r>
        <w:t>19-014-0058</w:t>
      </w:r>
      <w:r>
        <w:t>集）　　檔名：</w:t>
      </w:r>
      <w:r>
        <w:t xml:space="preserve">29-511-0232 </w:t>
      </w:r>
    </w:p>
    <w:p w14:paraId="43918DE4" w14:textId="77777777" w:rsidR="00A32BF2" w:rsidRDefault="00A32BF2">
      <w:pPr>
        <w:pStyle w:val="a3"/>
      </w:pPr>
      <w:r>
        <w:t xml:space="preserve">　　弘法利生不是個容易事情，我們當時接受教誨的時候，老師常常叮嚀，要通世出世間法，說法才能夠契機契理。通佛法，契理；通世間法，契機。所以學佛不容易，弘法更難，要通達世出世間一切法，這個事情才能做得好。世間法不外乎人情世故，要懂，這個要有豐富的常識，要在生活當中接受教訓，天天能夠改過自新。我們常常遇到的，世間人起心動念、言語造作，不善的太多了，不善我們要幫助他改正；幫助改正，佛教我們善巧方便。我們沒有善巧、沒有方便，直來直去，讓人家生起反感：「好像你都是對的，我都是不對的。」他排斥你，不接受你。你的好心在別人心目當中是惡意。這叫什麼？不契機。所以菩薩度眾生，契機是擺在第一條的。　　</w:t>
      </w:r>
    </w:p>
    <w:sectPr w:rsidR="00A32B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739FF" w14:textId="77777777" w:rsidR="00A32BF2" w:rsidRDefault="00A32BF2" w:rsidP="00D2212F">
      <w:r>
        <w:separator/>
      </w:r>
    </w:p>
  </w:endnote>
  <w:endnote w:type="continuationSeparator" w:id="0">
    <w:p w14:paraId="7D489C73" w14:textId="77777777" w:rsidR="00A32BF2" w:rsidRDefault="00A32BF2" w:rsidP="00D22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F687A" w14:textId="77777777" w:rsidR="00A32BF2" w:rsidRDefault="00A32BF2" w:rsidP="00D2212F">
      <w:r>
        <w:separator/>
      </w:r>
    </w:p>
  </w:footnote>
  <w:footnote w:type="continuationSeparator" w:id="0">
    <w:p w14:paraId="0B7974E4" w14:textId="77777777" w:rsidR="00A32BF2" w:rsidRDefault="00A32BF2" w:rsidP="00D22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2F"/>
    <w:rsid w:val="00A32BF2"/>
    <w:rsid w:val="00B519F4"/>
    <w:rsid w:val="00D2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96F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21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21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21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21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