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A287A" w14:textId="77777777" w:rsidR="008161E6" w:rsidRDefault="008161E6">
      <w:r>
        <w:t>法音普薰集</w:t>
      </w:r>
      <w:r>
        <w:t>—</w:t>
      </w:r>
      <w:r>
        <w:t xml:space="preserve">如何不受貧窮的果報？　　（第二七七集）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29-511-0277 </w:t>
      </w:r>
    </w:p>
    <w:p w14:paraId="245F9B7A" w14:textId="77777777" w:rsidR="008161E6" w:rsidRDefault="008161E6">
      <w:pPr>
        <w:pStyle w:val="a3"/>
      </w:pPr>
      <w:r>
        <w:t xml:space="preserve">　　諸位讀過《了凡四訓》就曉得，「一飲一啄，莫非前定」，前生誰給你定的？自己定的，不是別人定的，這才真正是公平。明白這個道理之後，我們這一生命裡頭缺財不要緊，現在修，積極的修都來得及。了凡先生明白這個道理之後，他自己懂得修因，三種因他都修，財布施、法布施、無畏布施，財布施得財富，法布施得聰明智慧，無畏布施得健康長壽，不但他自己做，太太也幫他做，全家做，所以他的命運改得那麼快。發了財，發了財自己並不享受，實在講，過他非常快樂的生活，節儉，把自己省下來多餘的，再幫助一些需要的人，他的富貴永遠享不盡，生生世世不受貧窮的果報。他懂得道理，懂得方法，如理如法的去求，有求必應。　　</w:t>
      </w:r>
    </w:p>
    <w:sectPr w:rsidR="008161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7F1CD" w14:textId="77777777" w:rsidR="008161E6" w:rsidRDefault="008161E6" w:rsidP="0095591C">
      <w:r>
        <w:separator/>
      </w:r>
    </w:p>
  </w:endnote>
  <w:endnote w:type="continuationSeparator" w:id="0">
    <w:p w14:paraId="6F3DB252" w14:textId="77777777" w:rsidR="008161E6" w:rsidRDefault="008161E6" w:rsidP="0095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982DB" w14:textId="77777777" w:rsidR="008161E6" w:rsidRDefault="008161E6" w:rsidP="0095591C">
      <w:r>
        <w:separator/>
      </w:r>
    </w:p>
  </w:footnote>
  <w:footnote w:type="continuationSeparator" w:id="0">
    <w:p w14:paraId="5DFE9637" w14:textId="77777777" w:rsidR="008161E6" w:rsidRDefault="008161E6" w:rsidP="009559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1C"/>
    <w:rsid w:val="008161E6"/>
    <w:rsid w:val="0095591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4E4D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59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59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59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59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