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BE38" w14:textId="77777777" w:rsidR="00EA4260" w:rsidRDefault="00EA4260">
      <w:r>
        <w:t>法音普薰集</w:t>
      </w:r>
      <w:r>
        <w:t>—</w:t>
      </w:r>
      <w:r>
        <w:t xml:space="preserve">什麼叫善法？　　（第三五三集）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29-511-0353 </w:t>
      </w:r>
    </w:p>
    <w:p w14:paraId="591C496D" w14:textId="77777777" w:rsidR="00EA4260" w:rsidRDefault="00EA4260">
      <w:pPr>
        <w:pStyle w:val="a3"/>
      </w:pPr>
      <w:r>
        <w:t xml:space="preserve">　　什麼叫「一切善法」？無我、無人、無眾生、無壽者，這叫「一切善法」，與十善相應。十善是事，事對面有個理，理事不二。從理上去觀察，《無量壽經》也教給我們「觀法如化，三昧常寂」，這經文好！妙極了！「觀法如化」是般若智慧，十惡要斷，十善要修，斷惡修善都是如幻如化，斷惡不執著斷惡，修善不執著修善，你就不是幼稚園的學生了，你至少已經提升到小學、中學，你不是十信位的菩薩，你已經到十住、十行。「三昧常寂」就是永遠保持真誠清淨平等覺，這是《楞嚴經》上講的「常住真心」，你的常住真心常常現前。常住真心我們人人都有，非常可惜，被業障蒙蔽、障礙住，我們的常住真心透不出來，透出來的是妄心。　　</w:t>
      </w:r>
    </w:p>
    <w:sectPr w:rsidR="00EA42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8CD0C" w14:textId="77777777" w:rsidR="00EA4260" w:rsidRDefault="00EA4260" w:rsidP="009360DB">
      <w:r>
        <w:separator/>
      </w:r>
    </w:p>
  </w:endnote>
  <w:endnote w:type="continuationSeparator" w:id="0">
    <w:p w14:paraId="55E56F84" w14:textId="77777777" w:rsidR="00EA4260" w:rsidRDefault="00EA4260" w:rsidP="0093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D09D" w14:textId="77777777" w:rsidR="00EA4260" w:rsidRDefault="00EA4260" w:rsidP="009360DB">
      <w:r>
        <w:separator/>
      </w:r>
    </w:p>
  </w:footnote>
  <w:footnote w:type="continuationSeparator" w:id="0">
    <w:p w14:paraId="1331E7F2" w14:textId="77777777" w:rsidR="00EA4260" w:rsidRDefault="00EA4260" w:rsidP="00936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DB"/>
    <w:rsid w:val="009360DB"/>
    <w:rsid w:val="00B519F4"/>
    <w:rsid w:val="00EA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667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