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FADB" w14:textId="77777777" w:rsidR="006B4C71" w:rsidRDefault="006B4C71">
      <w:r>
        <w:t>法音普薰集</w:t>
      </w:r>
      <w:r>
        <w:t>—</w:t>
      </w:r>
      <w:r>
        <w:t xml:space="preserve">自私自利有前途嗎？　　（第三六五集）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29-511-0365 </w:t>
      </w:r>
    </w:p>
    <w:p w14:paraId="534C8F4E" w14:textId="77777777" w:rsidR="006B4C71" w:rsidRDefault="006B4C71">
      <w:pPr>
        <w:pStyle w:val="a3"/>
      </w:pPr>
      <w:r>
        <w:t xml:space="preserve">　　我們自己如果起心動念也落在自私自利，也落在貪瞋痴慢，天天搞是非人我，我們自己一定要清楚，前途是什麼？前途是三惡道。你走的路，走的是地獄道、畜生道、餓鬼道。這個世間很短暫，一百年光陰，一彈指就過去了。你到哪裡去？到惡道去。誰教你到惡道去？你自作自受，沒有任何一個人干涉你，也沒有任何一個人可以左右你。你作佛、你下地獄，完全是你自己的事情，什麼人都幫不上忙，什麼人也障礙不了，佛菩薩對你也無能為力，這個一定要懂得。　　</w:t>
      </w:r>
    </w:p>
    <w:sectPr w:rsidR="006B4C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88CEF" w14:textId="77777777" w:rsidR="006B4C71" w:rsidRDefault="006B4C71" w:rsidP="00423A29">
      <w:r>
        <w:separator/>
      </w:r>
    </w:p>
  </w:endnote>
  <w:endnote w:type="continuationSeparator" w:id="0">
    <w:p w14:paraId="39864409" w14:textId="77777777" w:rsidR="006B4C71" w:rsidRDefault="006B4C71" w:rsidP="00423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A6DC6" w14:textId="77777777" w:rsidR="006B4C71" w:rsidRDefault="006B4C71" w:rsidP="00423A29">
      <w:r>
        <w:separator/>
      </w:r>
    </w:p>
  </w:footnote>
  <w:footnote w:type="continuationSeparator" w:id="0">
    <w:p w14:paraId="704DB368" w14:textId="77777777" w:rsidR="006B4C71" w:rsidRDefault="006B4C71" w:rsidP="00423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29"/>
    <w:rsid w:val="00423A29"/>
    <w:rsid w:val="006B4C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571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3A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3A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3A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3A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