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D47A" w14:textId="77777777" w:rsidR="00FE4FDB" w:rsidRDefault="00FE4FDB">
      <w:r>
        <w:t>法音普薰集</w:t>
      </w:r>
      <w:r>
        <w:t>—</w:t>
      </w:r>
      <w:r>
        <w:t xml:space="preserve">諸佛菩薩生心而無所住　　（第三六九集）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29-511-0369 </w:t>
      </w:r>
    </w:p>
    <w:p w14:paraId="0D293A18" w14:textId="77777777" w:rsidR="00FE4FDB" w:rsidRDefault="00FE4FDB">
      <w:pPr>
        <w:pStyle w:val="a3"/>
      </w:pPr>
      <w:r>
        <w:t xml:space="preserve">　　禪宗六祖能大師說得很好，「本來無一物」。「本來無一物」就是《金剛經》上講的「應無所住」；「而生其心」，是生度化眾生的心。「無住」跟「生心」是一不是二。我們今天很困難，我們生心就不能無住了，心就有住，要無住就不能生心了，總是搞得兩邊合不攏，這是凡夫。諸佛菩薩生心跟無住是一不是二，生心就是無住，無住就是生心。大家慢慢從這裡面去體會，然後你才能夠領略一點圓教的思想、圓教的義趣。　　</w:t>
      </w:r>
    </w:p>
    <w:sectPr w:rsidR="00FE4F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C86E" w14:textId="77777777" w:rsidR="00FE4FDB" w:rsidRDefault="00FE4FDB" w:rsidP="00A76B83">
      <w:r>
        <w:separator/>
      </w:r>
    </w:p>
  </w:endnote>
  <w:endnote w:type="continuationSeparator" w:id="0">
    <w:p w14:paraId="70E60657" w14:textId="77777777" w:rsidR="00FE4FDB" w:rsidRDefault="00FE4FDB" w:rsidP="00A7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4ED4" w14:textId="77777777" w:rsidR="00FE4FDB" w:rsidRDefault="00FE4FDB" w:rsidP="00A76B83">
      <w:r>
        <w:separator/>
      </w:r>
    </w:p>
  </w:footnote>
  <w:footnote w:type="continuationSeparator" w:id="0">
    <w:p w14:paraId="71A4696D" w14:textId="77777777" w:rsidR="00FE4FDB" w:rsidRDefault="00FE4FDB" w:rsidP="00A76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83"/>
    <w:rsid w:val="00A76B83"/>
    <w:rsid w:val="00B519F4"/>
    <w:rsid w:val="00FE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BAF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B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B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