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B0F05" w14:textId="77777777" w:rsidR="003D0D8D" w:rsidRDefault="003D0D8D">
      <w:r>
        <w:t>法音普薰集</w:t>
      </w:r>
      <w:r>
        <w:t>—</w:t>
      </w:r>
      <w:r>
        <w:t xml:space="preserve">淨宗修學必修的五個科目　　（第三七二集）　　</w:t>
      </w:r>
      <w:r>
        <w:t>2000/12/28</w:t>
      </w:r>
      <w:r>
        <w:t xml:space="preserve">　　新加坡淨宗學會（節錄自佛說十善業道經</w:t>
      </w:r>
      <w:r>
        <w:t>19-014-0108</w:t>
      </w:r>
      <w:r>
        <w:t>集）　　檔名：</w:t>
      </w:r>
      <w:r>
        <w:t xml:space="preserve">29-511-0372 </w:t>
      </w:r>
    </w:p>
    <w:p w14:paraId="1ABC0FA8" w14:textId="77777777" w:rsidR="003D0D8D" w:rsidRDefault="003D0D8D">
      <w:pPr>
        <w:pStyle w:val="a3"/>
      </w:pPr>
      <w:r>
        <w:t xml:space="preserve">　　我們一心就住在「阿彌陀佛」上，沒有分別，沒有執著，沒有間斷。日常生活當中，依著經典的教導。我們今天歸納五個科目，日常生活決定不違背這五科。第一個科目「淨業三福」，第二個科目「六和敬」，要真幹！別人跟我不和，我跟他要和，我們各人走各人的路。他跟我不和，他要走六道，我要跟他和，我走西方極樂世界，我們各人走各人的路。我能幫他，我盡量幫他，實在幫不了，也不能受他的牽累，他墮三途，我不能跟他去。</w:t>
      </w:r>
      <w:r>
        <w:t xml:space="preserve"> </w:t>
      </w:r>
    </w:p>
    <w:p w14:paraId="3BB15588" w14:textId="77777777" w:rsidR="003D0D8D" w:rsidRDefault="003D0D8D">
      <w:pPr>
        <w:pStyle w:val="a3"/>
      </w:pPr>
      <w:r>
        <w:t xml:space="preserve">　　自己應當要曉得，他拼命往三途鑽，拉都拉不回來，「算了！不拉他，讓他去吧！」這不是不慈悲，不讓他去，自己就被他拉進去了。所以在這個時候一定要放手，等他什麼時候回頭了，再去度他。幫助一個人絕對不是在一生一世，生生世世！什麼時候他想回頭，那個時候你去幫他，機緣成熟；不想回頭的時候，諸佛菩薩都幫不上忙，這個道理一定要懂。這也是經上佛常常說的，先度自己，自己不能得度，要想度別人無有是處。</w:t>
      </w:r>
      <w:r>
        <w:t xml:space="preserve"> </w:t>
      </w:r>
    </w:p>
    <w:p w14:paraId="1D2B1069" w14:textId="77777777" w:rsidR="003D0D8D" w:rsidRDefault="003D0D8D">
      <w:pPr>
        <w:pStyle w:val="a3"/>
      </w:pPr>
      <w:r>
        <w:t xml:space="preserve">　　第三個科目「三學」，戒、定、慧三學。三學，《無量壽經》上幾句話講得非常具體：「善護三業」，戒學；「觀法如化」，慧學；「三昧常寂」，定學。這個開示非常精彩！下面一個科目，「六波羅蜜」。最後一個科目，「普賢菩薩十願」。我們生活、工作、處事待人接物，遵守這五個科目，這是菩薩道。別人不走，我走！我知道這是菩薩大道，我們要把心住在這個道上，這是利他，這一句「阿彌陀佛」是自利，自利跟利他是同時的。自利就是利他，利他就是自利，念念不捨「阿彌陀佛」。　　</w:t>
      </w:r>
    </w:p>
    <w:sectPr w:rsidR="003D0D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1DC11" w14:textId="77777777" w:rsidR="003D0D8D" w:rsidRDefault="003D0D8D" w:rsidP="00A20DC1">
      <w:r>
        <w:separator/>
      </w:r>
    </w:p>
  </w:endnote>
  <w:endnote w:type="continuationSeparator" w:id="0">
    <w:p w14:paraId="6E1EC749" w14:textId="77777777" w:rsidR="003D0D8D" w:rsidRDefault="003D0D8D" w:rsidP="00A20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F02F2" w14:textId="77777777" w:rsidR="003D0D8D" w:rsidRDefault="003D0D8D" w:rsidP="00A20DC1">
      <w:r>
        <w:separator/>
      </w:r>
    </w:p>
  </w:footnote>
  <w:footnote w:type="continuationSeparator" w:id="0">
    <w:p w14:paraId="745E703B" w14:textId="77777777" w:rsidR="003D0D8D" w:rsidRDefault="003D0D8D" w:rsidP="00A20D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C1"/>
    <w:rsid w:val="003D0D8D"/>
    <w:rsid w:val="00A20DC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166C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0D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0D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0D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0D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