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1D67" w14:textId="77777777" w:rsidR="00296336" w:rsidRDefault="00296336">
      <w:r>
        <w:t>金剛經的智言慧語</w:t>
      </w:r>
      <w:r>
        <w:t>—</w:t>
      </w:r>
      <w:r>
        <w:t xml:space="preserve">因對待故，極易生起分別計較，此所以有貪瞋也　　（第五九一集）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29-513-0591 </w:t>
      </w:r>
    </w:p>
    <w:p w14:paraId="5EAABE66" w14:textId="77777777" w:rsidR="00296336" w:rsidRDefault="00296336">
      <w:pPr>
        <w:pStyle w:val="a3"/>
      </w:pPr>
      <w:r>
        <w:t xml:space="preserve">　　【因對待故，極易生起分別計較，此所以有貪瞋也。】</w:t>
      </w:r>
      <w:r>
        <w:t xml:space="preserve"> </w:t>
      </w:r>
    </w:p>
    <w:p w14:paraId="575741EB" w14:textId="77777777" w:rsidR="00296336" w:rsidRDefault="00296336">
      <w:pPr>
        <w:pStyle w:val="a3"/>
      </w:pPr>
      <w:r>
        <w:t xml:space="preserve">　　這是說明貪瞋是從什麼地方發生的，真的跟治病診斷一樣，先要把病源找出來。病怎麼生，為什麼會這個生病，先把病源找出來，然後才能夠對症下藥。要找病根、病源，先要了解世間一切事相，世間事都是相對的，我跟人就是一對。佛法裡面，佛給我們說一切經，也不能離開相對；離開相對，沒話好說。說佛法，佛法的對面是世間法；說覺悟，覺悟的對面是迷惑。都是相對的，沒有一樣不是相對的。凡是相對都是緣生之法，因緣生法，都是相對的。因為相對，非常容易產生錯誤的觀念，錯誤觀念就是分別計較，很容易發生。一念不覺，就落到分別計較裡面。佛經裡面名詞叫計度分別，計是計較，度是度量、衡量、分別，就落在這裡面。所以前面講，般若不可須臾離也，一離開般若，你就會落到分別計度裡頭去，那就錯了。於是順自己意思的就起貪心，不合自己意思就生瞋恚心，貪瞋是從這個地方生的。　　</w:t>
      </w:r>
    </w:p>
    <w:sectPr w:rsidR="002963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C7D18" w14:textId="77777777" w:rsidR="00296336" w:rsidRDefault="00296336" w:rsidP="008E4398">
      <w:r>
        <w:separator/>
      </w:r>
    </w:p>
  </w:endnote>
  <w:endnote w:type="continuationSeparator" w:id="0">
    <w:p w14:paraId="0E1EDAED" w14:textId="77777777" w:rsidR="00296336" w:rsidRDefault="00296336" w:rsidP="008E4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B69B" w14:textId="77777777" w:rsidR="00296336" w:rsidRDefault="00296336" w:rsidP="008E4398">
      <w:r>
        <w:separator/>
      </w:r>
    </w:p>
  </w:footnote>
  <w:footnote w:type="continuationSeparator" w:id="0">
    <w:p w14:paraId="0F0ACA90" w14:textId="77777777" w:rsidR="00296336" w:rsidRDefault="00296336" w:rsidP="008E4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98"/>
    <w:rsid w:val="00296336"/>
    <w:rsid w:val="008E43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836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3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3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3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3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