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0034D" w14:textId="77777777" w:rsidR="00675133" w:rsidRDefault="00675133">
      <w:r>
        <w:t>金剛經的智言慧語</w:t>
      </w:r>
      <w:r>
        <w:t>—</w:t>
      </w:r>
      <w:r>
        <w:t xml:space="preserve">若於六度，一一不懈不退，是為精進　　（第六Ｏ九集）　　</w:t>
      </w:r>
      <w:r>
        <w:t>1995/5</w:t>
      </w:r>
      <w:r>
        <w:t xml:space="preserve">　　新加坡佛教居士林（節錄自金剛般若研習報告</w:t>
      </w:r>
      <w:r>
        <w:t>09-023-0052</w:t>
      </w:r>
      <w:r>
        <w:t>集）　　檔名：</w:t>
      </w:r>
      <w:r>
        <w:t xml:space="preserve">29-513-0609 </w:t>
      </w:r>
    </w:p>
    <w:p w14:paraId="033B7C3D" w14:textId="77777777" w:rsidR="00675133" w:rsidRDefault="00675133">
      <w:pPr>
        <w:pStyle w:val="a3"/>
      </w:pPr>
      <w:r>
        <w:t xml:space="preserve">　　【若於般若、布施、持戒、忍辱、禪定，一一不懈不退，是為精進。】</w:t>
      </w:r>
      <w:r>
        <w:t xml:space="preserve"> </w:t>
      </w:r>
    </w:p>
    <w:p w14:paraId="1C19ECC8" w14:textId="77777777" w:rsidR="00675133" w:rsidRDefault="00675133">
      <w:pPr>
        <w:pStyle w:val="a3"/>
      </w:pPr>
      <w:r>
        <w:t xml:space="preserve">　　這是精進的定義。六度包含菩薩一切的行門，也就是我剛才所說的，包括我們全部的生活行為。所有的生活行為，包括起心動念，都能夠與這六大綱領相應；布施、持戒、忍辱、精進、禪定、般若，都能與這個相應。樁樁事情能夠不懈怠、不退轉，《普賢菩薩行願品》裡面所說的，不疲不厭，這就是精進；如果會疲倦、會厭煩，精進波羅蜜就沒有了。諸位要知道，沒有精進，不但是禪定你沒有，般若你沒有，前面的布施、持戒、忍辱，大概也都馬馬虎虎不見得怎麼樣。所以精進是菩薩善根。你們諸位常講善根，世間法的善根有三條：無貪、無瞋、無痴，叫三善根；出世法善根就一條：精進。可是你要曉得，出世法是建立在世法的基礎上，絕對不是說貪瞋痴沒斷，現在拼命的精進，這就是菩薩了，不是的。先把世法三善根修好，然後再修出世間的善根，這是有次第的，不能夠錯亂、不能夠躐等，一定要按部就班的來修學。</w:t>
      </w:r>
      <w:r>
        <w:t xml:space="preserve"> </w:t>
      </w:r>
    </w:p>
    <w:p w14:paraId="299D661D" w14:textId="77777777" w:rsidR="00675133" w:rsidRDefault="00675133">
      <w:pPr>
        <w:pStyle w:val="a3"/>
      </w:pPr>
      <w:r>
        <w:t xml:space="preserve">　　不但佛門當中這樣教導我們，在古時候世法也是這樣教學生，要知道精進。現在學佛難，難在哪裡？不懂道理、不懂方法。不能說他不勤快，他很勤奮很努力，可是沒效果。這就是方法、道理上錯誤；不如理、不如法。古人還常說，也許能收事倍功半之效，我看現在事要加倍，功恐怕沒有。古人能夠收一半，現在恐怕收不到。畢竟古人的社會環境跟我們現在不相同，基礎教育不一樣，這一點非常明顯。佛經翻譯最晚大概也是在南宋的時候，南宋以後就很少，因此文字，翻經的大師已經煞費苦心，用最淺顯的文字來翻譯。可是今天的大眾對於文言文已經捨棄，不該放下的放下了，應該放下的偏偏不肯放下，所以這個經文讀誦都困難，這就是我們不如古人的地方。文字都看不懂，那意思你怎麼能夠體會？這就更難了。於是乎修學，錯誤就太多太多了。假如遇不到真正善知識的指點，冤枉吃幾十年苦頭，這個幾乎是到處都見得到的。有人一輩子都不會回頭，那才叫真可惜。</w:t>
      </w:r>
      <w:r>
        <w:t xml:space="preserve"> </w:t>
      </w:r>
    </w:p>
    <w:p w14:paraId="16632C85" w14:textId="77777777" w:rsidR="00675133" w:rsidRDefault="00675133">
      <w:pPr>
        <w:pStyle w:val="a3"/>
      </w:pPr>
      <w:r>
        <w:t xml:space="preserve">　　真正善知識的指點，也只是幾句話，叫你「一門深入」。你們大家都懂，也會說，一門深入的意義不懂。因此，「一門深入」四個字的好處利益，你還是得不到。你聽說這句話，你也會說這句話，這句話裡面真正的意思不曉得。一門是一部經，或者是一部論，決定不能有兩種。專學一部經，或者是專學一部論，要學多久？古時候有個標準是五年，五年學一樣。在這一門上根基紮進去了，然後才廣學多聞。這是古時候的水準。好像那個時候人，生的病並不太嚴重；今天我們的病重了，比古時候人害的病不曉得重多少倍，用古人這個方法，我們不見效了。你不相信，你學一部經學五年，學五年之後還是懵懵懂懂的，還是不開悟。從前人行，我們現在不行。那怎麼辦？時間加倍。古人用五年，我們用十年，也許還有效。十年不行，十五年，差不多應該有效了。你就得要有忍辱波羅蜜，你忍不住不行，十年東西心定在一門上。</w:t>
      </w:r>
      <w:r>
        <w:t xml:space="preserve"> </w:t>
      </w:r>
    </w:p>
    <w:p w14:paraId="75AFB6D1" w14:textId="77777777" w:rsidR="00675133" w:rsidRDefault="00675133">
      <w:pPr>
        <w:pStyle w:val="a3"/>
      </w:pPr>
      <w:r>
        <w:t xml:space="preserve">　　我舉一個例子，我們學《阿彌陀經》，《阿彌陀經》有兩個好註子，這大家都公認的，一個是蓮池大師的《疏鈔》，一個是蕅益大師的《要解》。應該怎麼學法？我學《疏鈔》，我用五年到十年的時間專門讀《疏鈔》，專門研究《疏鈔》，《疏鈔》以外的東西不看，這一門深入，這個才行。再看別的東西摻雜進去就壞了，夾雜了。精進，不懷疑、不夾雜叫精，不間斷叫進；懷疑、夾雜，精沒有了。夾雜的那個進，</w:t>
      </w:r>
      <w:r>
        <w:lastRenderedPageBreak/>
        <w:t xml:space="preserve">那叫雜進、亂進，那不是精進，這些都得要清楚。用五年到十年的時間，讀誦、研究蓮池大師的《疏鈔》；然後再用三年、五年的時間，專門研究蕅益大師的《要解》；三、五年之後，再用一、二年的時間，把兩個東西會合起來，就通了。你要沒有這種精進的功夫，這兩樣東西拿起來，怎麼合也合不起來。你們現在發心學教，這是學教的祕訣。你能這樣下功夫；如果說是在《疏鈔》上下功夫，十年之後你就是蓮池大師的化身；要是學《要解》的，十年之後你是蕅益大師的化身；兩樣東西能夠結合起來、圓融起來，你是阿彌陀佛的化身。不是做不到，要懂道理、懂方法，要能把一切放下。這講佛法要放下，這樣專攻才行。誰肯去做，誰就能成功。尤其是現代科技發達，印刷術發達，這些典籍得來並不困難，利用科技的方便，幫助我們修學，只要我們懂得這個辦法，假以時日沒有不成就的。　　</w:t>
      </w:r>
    </w:p>
    <w:sectPr w:rsidR="006751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C3429" w14:textId="77777777" w:rsidR="00675133" w:rsidRDefault="00675133" w:rsidP="003F3EE5">
      <w:r>
        <w:separator/>
      </w:r>
    </w:p>
  </w:endnote>
  <w:endnote w:type="continuationSeparator" w:id="0">
    <w:p w14:paraId="3319B8BB" w14:textId="77777777" w:rsidR="00675133" w:rsidRDefault="00675133" w:rsidP="003F3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49F77" w14:textId="77777777" w:rsidR="00675133" w:rsidRDefault="00675133" w:rsidP="003F3EE5">
      <w:r>
        <w:separator/>
      </w:r>
    </w:p>
  </w:footnote>
  <w:footnote w:type="continuationSeparator" w:id="0">
    <w:p w14:paraId="563F3AF1" w14:textId="77777777" w:rsidR="00675133" w:rsidRDefault="00675133" w:rsidP="003F3E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EE5"/>
    <w:rsid w:val="003F3EE5"/>
    <w:rsid w:val="0067513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AC00C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3E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3E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3E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3E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