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087B" w14:textId="77777777" w:rsidR="00CF5702" w:rsidRDefault="00CF5702">
      <w:r>
        <w:t>金剛經的智言慧語</w:t>
      </w:r>
      <w:r>
        <w:t>—</w:t>
      </w:r>
      <w:r>
        <w:t xml:space="preserve">修行沒有別的，斷煩惱而已　　（第七二八集）　　</w:t>
      </w:r>
      <w:r>
        <w:t>1995/5</w:t>
      </w:r>
      <w:r>
        <w:t xml:space="preserve">　　新加坡佛教居士林（節錄自金剛般若研習報告</w:t>
      </w:r>
      <w:r>
        <w:t>09-023-0062</w:t>
      </w:r>
      <w:r>
        <w:t>集）　　檔名：</w:t>
      </w:r>
      <w:r>
        <w:t xml:space="preserve">29-513-0728 </w:t>
      </w:r>
    </w:p>
    <w:p w14:paraId="694C5130" w14:textId="77777777" w:rsidR="00CF5702" w:rsidRDefault="00CF5702">
      <w:pPr>
        <w:pStyle w:val="a3"/>
      </w:pPr>
      <w:r>
        <w:t xml:space="preserve">　　【喻此人道眼未開，無明未破。雖學大乘行布施，既是盲修，必生重障。】</w:t>
      </w:r>
      <w:r>
        <w:t xml:space="preserve"> </w:t>
      </w:r>
    </w:p>
    <w:p w14:paraId="2FD39E0B" w14:textId="77777777" w:rsidR="00CF5702" w:rsidRDefault="00CF5702">
      <w:pPr>
        <w:pStyle w:val="a3"/>
      </w:pPr>
      <w:r>
        <w:t xml:space="preserve">　　這一小段我們實在是要注意！可能就是我們現前犯的毛病。雖有這個毛病，自己不知道，自己還以為學佛學得不錯，到後來學佛得不到結果，他也找不到他什麼地方出了差錯，他不曉得；出了差錯就是沒有見性。見性談何容易！但是這個地方一句，實在給我們很大的啟示，那就是要想見性，一定要把真性裡面的障礙去掉，我們的心性才能現前。什麼東西障礙我們心性？見思、塵沙、無明，這是經上所講的三種煩惱。由此可知，修行沒有別的，斷煩惱而已。從哪裡斷起？從最粗、最明顯的煩惱先斷起。最粗的煩惱叫見思煩惱；這是兩大類：「見」是見解上的錯誤，「思」是思想上的錯誤。佛教給我們修學的總綱領，那個名字叫「觀行」，觀是改變我們錯誤的見解思想，行是改變我們生活上錯誤的行為。依什麼標準？經典。依經典修正我們思想見解，依戒律修正我們生活行為，行依戒律，知見依經論；經律論它的作用是幫助我們改正錯誤。如果只是研究經教，不能改變我們錯誤的觀念，這個沒用處。如果懂，只管修行而不能斷煩惱，這個修持也沒有用處。煩惱從哪裡斷起？也要從最重的下手。假如我們的貪心重，先斷貪心；我們的瞋恚心重，先斷瞋心。每個人煩惱習氣不相同，自己要好好的反省反省，哪一個毛病最重，先對付它。最重的毛病轉</w:t>
      </w:r>
      <w:r>
        <w:t>過來了，其他比較輕一點的很容易轉。就像治病一樣，一定要首先治療要命的重病，對於性命還不太相關的小毛病可以慢慢來，致命的疾病一定要首先來治療它，道理是相同的。</w:t>
      </w:r>
      <w:r>
        <w:t xml:space="preserve"> </w:t>
      </w:r>
    </w:p>
    <w:p w14:paraId="6462CC48" w14:textId="77777777" w:rsidR="00CF5702" w:rsidRDefault="00CF5702">
      <w:pPr>
        <w:pStyle w:val="a3"/>
      </w:pPr>
      <w:r>
        <w:t xml:space="preserve">　　道眼未開。破無明對我們來講難，那是真的不容易，開道眼比破無明容易太多；道眼開了，你可以說是正知正見。我們學佛的同修，也常講我們是正信的佛教徒。什麼叫正信？道眼開了叫正信，不迷信了，不再迷信了，道眼開了，正信。所謂道眼，簡單的說，有能力辨別邪正。現在這個社會上很亂，佛門裡面也很亂，可以說是任何一個團體，佛門裡面亂、其他宗教裡面內部都亂，有真、有假、有邪、有正，你能夠一眼就看清楚、看明白，這是道眼。換句話說，有能力辨別真假、邪正、是非、善惡、利害，你有這種能力辨別，你的道眼開了。如果沒有能力辨別，怎麼辦？要依靠老師。就如同小孩，小孩沒有能力辨別是非利害，他怎麼辦？依靠父母，不能離開父母，父母保護他；離開父母，他就非常危險，可能就要遭遇到致命的災難，一定不能離開父母。必須等他長大成人，有了經驗閱歷，他才可以離開父母，可以獨立。我們學佛亦復如是。</w:t>
      </w:r>
      <w:r>
        <w:t xml:space="preserve"> </w:t>
      </w:r>
    </w:p>
    <w:p w14:paraId="3D43E084" w14:textId="77777777" w:rsidR="00CF5702" w:rsidRDefault="00CF5702">
      <w:pPr>
        <w:pStyle w:val="a3"/>
      </w:pPr>
      <w:r>
        <w:t xml:space="preserve">　　道眼未開要依靠老師，決定不能離開老師，離開老師不會有成就的。在老師的會下慢慢的去培養，這個培養就是修戒、修定、修慧。戒定慧有了相當的基礎，功夫能得力了，這個時候老師就叫你出去參學。老師叫你去參學，標準在哪裡？你有了道眼，你能夠辨別是非，老師就叫你出去參學，成就你的定慧。你出去參學，這個意思就是說明，除了老師之外，一切人、一切事、一切物你都可以接觸。這個接觸對你決定不會有傷害，成就你的定慧。你接觸的時候，像《金剛經》世尊教給須菩提，實在講就是教給我們大家，「不取於相，如如不動」，那怎麼會受害？「外不著相，內不動心」，你定功成就，不會被外面境界所轉了。不被境轉，你就有能力轉境界，《楞嚴經》上說得很好，「若能轉境，則同如來」，跟佛菩薩沒有兩樣。佛菩薩轉境界，不為境界所轉，我們要有本事轉境界，這就是要開道眼。剛才說了，沒有這個能力，</w:t>
      </w:r>
      <w:r>
        <w:lastRenderedPageBreak/>
        <w:t>依靠老師。依靠哪一個老師？現在我們遇不到善知識，我過去給大家傳授三皈依的時候，曾經給你介紹一位好老師，你要記住！哪一個老師？阿彌陀佛。依阿彌陀佛絕對不會錯，阿彌陀佛是「光中極尊，佛中之王」，哪裡會錯？阿彌陀佛在哪裡？供一尊阿彌陀佛的像，不行！那個像不能保佑我們。阿彌陀佛要教導我們，天天給我們說法才行！《大乘無量壽經》就是阿彌陀佛。</w:t>
      </w:r>
      <w:r>
        <w:t xml:space="preserve"> </w:t>
      </w:r>
    </w:p>
    <w:p w14:paraId="7008F32E" w14:textId="77777777" w:rsidR="00CF5702" w:rsidRDefault="00CF5702">
      <w:pPr>
        <w:pStyle w:val="a3"/>
      </w:pPr>
      <w:r>
        <w:t xml:space="preserve">　　我們這一生當中，在道眼未開的時候專依《無量壽經》。佛在經上教給我們哪些事情不能做的，我們就不做；哪些事情應當要做的，我們就去做；依教奉行，這就是依靠老師。別人講的，我這個經上沒有講，我依我這個經，我不依別的經，我專門跟阿彌陀佛學，這樣學法，縱然道眼未開，也能往生極樂世界。生到西方極樂世界，迴向偈裡頭曾經念到，「花開見佛悟無生」，一到西方極樂世界，道眼就開了，就能夠分破無明。如果道眼沒開、無明沒破，換句話說，就以佛法而論，哪個是真的佛法？哪個是假的佛法？哪個是正佛法？哪個是邪佛法？你都搞不清楚。你把假佛、邪法當作正法，你去修布施供養，這是盲修瞎練。不但功德沒有、福德也沒有，不但福德也沒有，恐怕還有過失。這是不能不謹慎，不能不明瞭的。　　</w:t>
      </w:r>
    </w:p>
    <w:sectPr w:rsidR="00CF57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32AD3" w14:textId="77777777" w:rsidR="00CF5702" w:rsidRDefault="00CF5702" w:rsidP="00BC52F7">
      <w:r>
        <w:separator/>
      </w:r>
    </w:p>
  </w:endnote>
  <w:endnote w:type="continuationSeparator" w:id="0">
    <w:p w14:paraId="1C696AB2" w14:textId="77777777" w:rsidR="00CF5702" w:rsidRDefault="00CF5702" w:rsidP="00BC5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689D4" w14:textId="77777777" w:rsidR="00CF5702" w:rsidRDefault="00CF5702" w:rsidP="00BC52F7">
      <w:r>
        <w:separator/>
      </w:r>
    </w:p>
  </w:footnote>
  <w:footnote w:type="continuationSeparator" w:id="0">
    <w:p w14:paraId="0DAA2D6E" w14:textId="77777777" w:rsidR="00CF5702" w:rsidRDefault="00CF5702" w:rsidP="00BC52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F7"/>
    <w:rsid w:val="00B519F4"/>
    <w:rsid w:val="00BC52F7"/>
    <w:rsid w:val="00CF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E586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52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52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52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52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