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028A" w14:textId="77777777" w:rsidR="00044B81" w:rsidRDefault="00044B81">
      <w:r>
        <w:t>金剛經的智言慧語</w:t>
      </w:r>
      <w:r>
        <w:t>—</w:t>
      </w:r>
      <w:r>
        <w:t xml:space="preserve">而圓頓人乃是一位攝一切位，且可一超直入　　（第七六三集）　　</w:t>
      </w:r>
      <w:r>
        <w:t>1995/5</w:t>
      </w:r>
      <w:r>
        <w:t xml:space="preserve">　　新加坡佛教居士林（節錄自金剛般若研習報告</w:t>
      </w:r>
      <w:r>
        <w:t>09-023-0064</w:t>
      </w:r>
      <w:r>
        <w:t>集）　　檔名：</w:t>
      </w:r>
      <w:r>
        <w:t xml:space="preserve">29-513-0763 </w:t>
      </w:r>
    </w:p>
    <w:p w14:paraId="098F4665" w14:textId="77777777" w:rsidR="00044B81" w:rsidRDefault="00044B81">
      <w:pPr>
        <w:pStyle w:val="a3"/>
      </w:pPr>
      <w:r>
        <w:t xml:space="preserve">　　【而圓頓人乃是一位攝一切位，且可一超直入。】</w:t>
      </w:r>
      <w:r>
        <w:t xml:space="preserve"> </w:t>
      </w:r>
    </w:p>
    <w:p w14:paraId="588C577F" w14:textId="77777777" w:rsidR="00044B81" w:rsidRDefault="00044B81">
      <w:pPr>
        <w:pStyle w:val="a3"/>
      </w:pPr>
      <w:r>
        <w:t xml:space="preserve">　　圓頓根性的人，跟《華嚴經》上講的完全相同，「一即一切，一切即一」。譬如我們這裡講的發心位，這是最低的，初發心、發心位。發心位是初住，初住叫發心住，菩提心剛剛發出來，三心圓發。他的果報、功德一直上輸到等覺菩薩，等覺菩薩的功德、受用，他能夠享受得到。所以一個位次就攝一切位，五十一位通攝。在上位的，譬如等覺菩薩，他也一直攝圓初住位；圓初住所修學的，等覺菩薩不能說他不做，他不能不做，他天天要做。等覺菩薩初學要守的那些規矩，他還是要照做。我們在本經一開端，看到釋迦牟尼佛入舍衛大城乞食，著衣持缽；著衣持缽是初學人學的，你們剛剛受戒就學了。釋迦成了佛，他也每天按照這個規矩，一點也不亂，他有次第。從這個地方我們就看到，「一即一切，一切即一」，的確一位攝一切位。不但如此，而且可以一超直入，這是講圓頓根性。</w:t>
      </w:r>
      <w:r>
        <w:t xml:space="preserve"> </w:t>
      </w:r>
    </w:p>
    <w:p w14:paraId="1B0595EE" w14:textId="77777777" w:rsidR="00044B81" w:rsidRDefault="00044B81">
      <w:pPr>
        <w:pStyle w:val="a3"/>
      </w:pPr>
      <w:r>
        <w:t xml:space="preserve">　　回過頭來我們看看淨土。《阿彌陀經》、《無量壽經》上所說的，淨土法門跟這裡講的完全一樣，淨宗的確是大乘至圓至頓。我們這樣一品煩惱沒斷，很幸運遇到這個法門，實在是很不可思議！你如果講《華嚴》、《法華》，一定要《金剛經》這個標準，要有這個標準才行。我們念佛人沒有達到這個標準，仗佛力加持也能夠得到這個標準，這是阿彌陀佛本願威神的加持，不是我們自己的能力，這個我們要曉得。真正是經上講的，無量劫來所修集的善根、福德、因緣，在這一生當中成熟，這是非常非常不可思議！　　</w:t>
      </w:r>
    </w:p>
    <w:sectPr w:rsidR="00044B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77BB6" w14:textId="77777777" w:rsidR="00044B81" w:rsidRDefault="00044B81" w:rsidP="00CB03A2">
      <w:r>
        <w:separator/>
      </w:r>
    </w:p>
  </w:endnote>
  <w:endnote w:type="continuationSeparator" w:id="0">
    <w:p w14:paraId="3C84C978" w14:textId="77777777" w:rsidR="00044B81" w:rsidRDefault="00044B81" w:rsidP="00CB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FC5F4" w14:textId="77777777" w:rsidR="00044B81" w:rsidRDefault="00044B81" w:rsidP="00CB03A2">
      <w:r>
        <w:separator/>
      </w:r>
    </w:p>
  </w:footnote>
  <w:footnote w:type="continuationSeparator" w:id="0">
    <w:p w14:paraId="60A9717B" w14:textId="77777777" w:rsidR="00044B81" w:rsidRDefault="00044B81" w:rsidP="00CB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3A2"/>
    <w:rsid w:val="00044B81"/>
    <w:rsid w:val="00B519F4"/>
    <w:rsid w:val="00CB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C2BBD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03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03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03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03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