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F92B" w14:textId="77777777" w:rsidR="00CB0F70" w:rsidRDefault="00CB0F70">
      <w:r>
        <w:t>金剛經的智言慧語</w:t>
      </w:r>
      <w:r>
        <w:t>—</w:t>
      </w:r>
      <w:r>
        <w:t xml:space="preserve">福慧雙修、悲智合一　　（第七八七集）　　</w:t>
      </w:r>
      <w:r>
        <w:t>1995/5</w:t>
      </w:r>
      <w:r>
        <w:t xml:space="preserve">　　新加坡佛教居士林（節錄自金剛般若研習報告</w:t>
      </w:r>
      <w:r>
        <w:t>09-023-0067</w:t>
      </w:r>
      <w:r>
        <w:t>集）　　檔名：</w:t>
      </w:r>
      <w:r>
        <w:t xml:space="preserve">29-513-0787 </w:t>
      </w:r>
    </w:p>
    <w:p w14:paraId="587DAA81" w14:textId="77777777" w:rsidR="00CB0F70" w:rsidRDefault="00CB0F70">
      <w:pPr>
        <w:pStyle w:val="a3"/>
      </w:pPr>
      <w:r>
        <w:t xml:space="preserve">　　【行願品云：誦此願者，行於世間，無有障礙。如空中月，出於雲翳。諸佛菩薩之所稱讚，一切人天皆應禮敬，一切眾生悉應供養。當知此二經，一表智，一表悲。日以此二種為恆課，正是福慧雙修、悲智合一，功德無量無邊。】</w:t>
      </w:r>
      <w:r>
        <w:t xml:space="preserve"> </w:t>
      </w:r>
    </w:p>
    <w:p w14:paraId="6803066F" w14:textId="77777777" w:rsidR="00CB0F70" w:rsidRDefault="00CB0F70">
      <w:pPr>
        <w:pStyle w:val="a3"/>
      </w:pPr>
      <w:r>
        <w:t xml:space="preserve">　　上一次講到這個地方。要緊的，我們這個註解是江味農居士作的，我們是從他《講義》裡面節錄下來的，他對我們的勸告是不會有錯誤的。這些勸告的話，都是對於學教的同修們所說的。如果是專修淨土，他就不是這樣說法，那對你有特別的讚歎。而在學佛同修當中，實在說，對於經教有興趣的人是佔很大的一個數量，特別是知識分子。知識分子要勸他念佛，他總覺得不太甘心情願，這一句佛號，天天念這個，有什麼意思，有什麼味道；不如許多經論，那裡頭五花八門很熱鬧。他這話是對學教人所說的，告訴我們，《金剛經》與《華嚴經》，乃至於一切大乘經典，有不能分割的關係。我們在這一段時期當中，也講了好幾部經，都是大乘重要的經典，雖然不算太多，但是意思我們已經能夠體會得到，這是相當的難得。我們對於淨宗法門，淨宗，隋唐古大德說，這是大乘當中的大乘，了義當中的了義，無上甚深經典。這些話我們乍聽起來，好像這是淨宗的大德們自己誇耀自己這些言論，未必能叫我們初學的人聽了之後，能夠點頭肯定的接受。這什麼原因？我們對於經教知道太少，知道不夠深刻。像近代印光大師所說的，淨土法門要不是深通教理之人，他不會相信。由此可知，相信淨宗它的條件是深通教理。念佛之樂，念佛真樂，要不是真正下了</w:t>
      </w:r>
      <w:r>
        <w:t xml:space="preserve">功夫的人，你不曉得念佛之樂。真正有功夫的人，念佛樂，非常快樂，叫法喜充滿。由此可知，知識分子要想學佛，一定從教理上、經教上下手，他才能夠啟發信心。也有一些根本就不通教理，聽了淨宗法門他就深信切願，他就真幹，這些人實在說也不在少數。這是什麼回事情？他們不是知識分子，而是經上所說的，過去生中善根福德非常深厚的一些人，遇到這個法門能生歡喜心，一生也一定有成就。我們明白了，對於這些現象就不會懷疑，不但不懷疑，看到之後，心裡面歡喜讚歎。　　</w:t>
      </w:r>
    </w:p>
    <w:sectPr w:rsidR="00CB0F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596DF" w14:textId="77777777" w:rsidR="00CB0F70" w:rsidRDefault="00CB0F70" w:rsidP="00861912">
      <w:r>
        <w:separator/>
      </w:r>
    </w:p>
  </w:endnote>
  <w:endnote w:type="continuationSeparator" w:id="0">
    <w:p w14:paraId="62F91C69" w14:textId="77777777" w:rsidR="00CB0F70" w:rsidRDefault="00CB0F70" w:rsidP="00861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0DE3B" w14:textId="77777777" w:rsidR="00CB0F70" w:rsidRDefault="00CB0F70" w:rsidP="00861912">
      <w:r>
        <w:separator/>
      </w:r>
    </w:p>
  </w:footnote>
  <w:footnote w:type="continuationSeparator" w:id="0">
    <w:p w14:paraId="2A510D78" w14:textId="77777777" w:rsidR="00CB0F70" w:rsidRDefault="00CB0F70" w:rsidP="00861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12"/>
    <w:rsid w:val="00861912"/>
    <w:rsid w:val="00B519F4"/>
    <w:rsid w:val="00CB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C74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19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19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19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19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