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4181" w14:textId="77777777" w:rsidR="0036751E" w:rsidRDefault="0036751E">
      <w:r>
        <w:t>金剛經的智言慧語</w:t>
      </w:r>
      <w:r>
        <w:t>—</w:t>
      </w:r>
      <w:r>
        <w:t xml:space="preserve">荷擔如來，方能生福滅罪，當得菩提　　（第八五二集）　　</w:t>
      </w:r>
      <w:r>
        <w:t>1995/5</w:t>
      </w:r>
      <w:r>
        <w:t xml:space="preserve">　　新加坡佛教居士林（節錄自金剛般若研習報告</w:t>
      </w:r>
      <w:r>
        <w:t>09-023-0072</w:t>
      </w:r>
      <w:r>
        <w:t>集）　　檔名：</w:t>
      </w:r>
      <w:r>
        <w:t xml:space="preserve">29-513-0852 </w:t>
      </w:r>
    </w:p>
    <w:p w14:paraId="43B7C5EF" w14:textId="77777777" w:rsidR="0036751E" w:rsidRDefault="0036751E">
      <w:pPr>
        <w:pStyle w:val="a3"/>
      </w:pPr>
      <w:r>
        <w:t xml:space="preserve">　　【於一切法無住而住，方為信心不逆，荷擔如來，方能生福滅罪，當得菩提。】</w:t>
      </w:r>
      <w:r>
        <w:t xml:space="preserve"> </w:t>
      </w:r>
    </w:p>
    <w:p w14:paraId="7C313404" w14:textId="77777777" w:rsidR="0036751E" w:rsidRDefault="0036751E">
      <w:pPr>
        <w:pStyle w:val="a3"/>
      </w:pPr>
      <w:r>
        <w:t xml:space="preserve">　　這段話非常重要。我們前面讀了，也說了，未必真的聽清楚了。此地這兩句講得很白、很淺顯。受持，這個意思前面都說過了，受持是要照做，不是去念，念不是受持；佛教給我們怎麼做，我們就怎麼做法；佛不叫我們做的，我們就不做，這叫受持；受是接受，持是保持。讀誦此經，受持讀誦，必定，這個「必」是完全肯定的一個語句，一絲毫懷疑都沒有，必定應當如佛教導。佛教給我們什麼？於一切法無住而住。怎麼無住又出來一個而住？經上教給我們應無所住，無住；而住就是生心。雖然教給我們應無所住，底下有而生其心，這意思很深很廣。無住就是不執著，心裡面乾乾淨淨，若無其事，這是無住，與一切法的體性相應，佛講是這麼個意思。為什麼又叫你而生其心？生心的時候，與一切法相相應。所有一切法相是唯心所現，唯識所變，這是世尊在《華嚴經》上說的。體一定現相，它不能不現相。所以相，諸位要曉得，相是不會滅的，不會斷滅，但是相會變，它不會滅，它會變。我們也用古人的比喻來說，古人用「以金作器，器器皆金」，黃金是體，不變，它的相會變。我們喜歡佛，把黃金塑一尊佛像。過幾天我們不喜歡佛，喜歡觀音菩薩，把黃金溶化掉，又做一個菩薩的像。相會變，金不變，還是那麼多金。我什麼像都不要了，它有</w:t>
      </w:r>
      <w:r>
        <w:t>沒有相？還是有相，一坨有一坨的相，一塊有一塊的相，它總歸有相。相是不會滅的，會變，隨著我們的心變。因此，生心重要。你生佛心，念佛心，那就現佛相，念菩薩心就生菩薩相，就這麼個道理。所以佛教給我們一定要無住生心，無住與體相應，生心與相、作用相應。無住是不著有，生心不著空，空有兩邊不住，這一部《金剛經》都是說的這個道理，說這個事實。所以要懂得，於一切法無住而住。</w:t>
      </w:r>
      <w:r>
        <w:t xml:space="preserve"> </w:t>
      </w:r>
    </w:p>
    <w:p w14:paraId="06A587A0" w14:textId="77777777" w:rsidR="0036751E" w:rsidRDefault="0036751E">
      <w:pPr>
        <w:pStyle w:val="a3"/>
      </w:pPr>
      <w:r>
        <w:t xml:space="preserve">　　「方為信心不逆」，前面講能做到信心不逆，就是經上講的，「信心清淨，則生實相」。不逆是非照這麼做不可。無論修學哪個法門，《金剛經》講的是總綱領、總原則，不管修哪個法門，你離開這個原則，你就不能成就。你參禪不能離開這個原則，你才能夠得定，你才能夠開悟；學教不離這個原則，你才能大開圓解，你才能通達教理、教義；你修密不離開這個原則，你得三密相應；你持戒不離這個原則，你從戒裡面一定得定開慧。離開這個原則，戒律持得再好，你不會得定，當然更不會開悟。所以這個原則就非常非重要，不逆是非照這個做不可。然後再荷擔如來，就是如來的事業，如來事業就是教化眾生、自行化他、為人演說。由此可知，信心不逆就是受持讀誦，荷擔如來就是為人演說。前面這個句子我們念得很多，歸結到這個地方。方能滅罪生福，真的滅罪，真正生福，滅無量罪，生無量福。當得菩提是以後的事情，當得菩提就是成佛。　　</w:t>
      </w:r>
    </w:p>
    <w:sectPr w:rsidR="003675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12BE0" w14:textId="77777777" w:rsidR="0036751E" w:rsidRDefault="0036751E" w:rsidP="00F91E4F">
      <w:r>
        <w:separator/>
      </w:r>
    </w:p>
  </w:endnote>
  <w:endnote w:type="continuationSeparator" w:id="0">
    <w:p w14:paraId="1D965BAB" w14:textId="77777777" w:rsidR="0036751E" w:rsidRDefault="0036751E" w:rsidP="00F91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C5F68" w14:textId="77777777" w:rsidR="0036751E" w:rsidRDefault="0036751E" w:rsidP="00F91E4F">
      <w:r>
        <w:separator/>
      </w:r>
    </w:p>
  </w:footnote>
  <w:footnote w:type="continuationSeparator" w:id="0">
    <w:p w14:paraId="113DBE1B" w14:textId="77777777" w:rsidR="0036751E" w:rsidRDefault="0036751E" w:rsidP="00F91E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4F"/>
    <w:rsid w:val="0036751E"/>
    <w:rsid w:val="00B519F4"/>
    <w:rsid w:val="00F9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6DD4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1E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1E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1E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1E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