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5630" w14:textId="77777777" w:rsidR="000B2381" w:rsidRDefault="000B2381">
      <w:r>
        <w:t>金剛經的智言慧語</w:t>
      </w:r>
      <w:r>
        <w:t>—</w:t>
      </w:r>
      <w:r>
        <w:t xml:space="preserve">胡來現胡，漢來現漢，初無容心　　（第九四二集）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29-513-0942 </w:t>
      </w:r>
    </w:p>
    <w:p w14:paraId="589F3F4F" w14:textId="77777777" w:rsidR="000B2381" w:rsidRDefault="000B2381">
      <w:pPr>
        <w:pStyle w:val="a3"/>
      </w:pPr>
      <w:r>
        <w:t xml:space="preserve">　　【胡來現胡，漢來現漢，初無容心。】</w:t>
      </w:r>
      <w:r>
        <w:t xml:space="preserve"> </w:t>
      </w:r>
    </w:p>
    <w:p w14:paraId="704CABAA" w14:textId="77777777" w:rsidR="000B2381" w:rsidRDefault="000B2381">
      <w:pPr>
        <w:pStyle w:val="a3"/>
      </w:pPr>
      <w:r>
        <w:t xml:space="preserve">　　諸佛菩薩用心，的確像鏡子一樣，決定沒有分別執著。胡是外國人，中國古時候叫外國人叫胡人。外國人照鏡子，鏡子裡面現外國人的面孔；漢是中國人，中國人照鏡子，鏡子裡面現中國人的面孔。不管是胡人、漢人照鏡子，鏡子沒有分別、沒有執著。這個意思是諸佛菩薩用心像鏡子一樣，十法界依正莊嚴，他照得清清楚楚，就像一面鏡子，絕對沒有分別執著。我們凡夫用心，用錯了心。我們也照，但是照見他要起分別，這個喜歡，那個討厭，他就生煩惱，他生這個東西。我們這個鏡子，心鏡照外面生煩惱，諸佛菩薩的心鏡照外面生智慧。諸位要知道，生煩惱就不生智慧，生智慧就不生煩惱。為什麼會生煩惱？因為你有妄想分別執著。為什麼他生智慧？他沒有妄想分別執著。這個差別的道理，一定要搞清楚。我們六根接觸六塵境界，一定要記住經裡面的教訓，「外不著相」，不取於相，外不著相，不著相就是不分別；「內不動心」，不動是什麼？不起好惡之心，你的心就清淨，心就平等，清淨平等就是覺心，覺就是智慧，生智慧。　　</w:t>
      </w:r>
    </w:p>
    <w:sectPr w:rsidR="000B23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E657" w14:textId="77777777" w:rsidR="000B2381" w:rsidRDefault="000B2381" w:rsidP="00756988">
      <w:r>
        <w:separator/>
      </w:r>
    </w:p>
  </w:endnote>
  <w:endnote w:type="continuationSeparator" w:id="0">
    <w:p w14:paraId="20910AF6" w14:textId="77777777" w:rsidR="000B2381" w:rsidRDefault="000B2381" w:rsidP="0075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81F31" w14:textId="77777777" w:rsidR="000B2381" w:rsidRDefault="000B2381" w:rsidP="00756988">
      <w:r>
        <w:separator/>
      </w:r>
    </w:p>
  </w:footnote>
  <w:footnote w:type="continuationSeparator" w:id="0">
    <w:p w14:paraId="57AB5CB4" w14:textId="77777777" w:rsidR="000B2381" w:rsidRDefault="000B2381" w:rsidP="00756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88"/>
    <w:rsid w:val="000B2381"/>
    <w:rsid w:val="007569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71B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9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9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9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9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