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F6D89" w14:textId="77777777" w:rsidR="009408FC" w:rsidRDefault="009408FC">
      <w:r>
        <w:t>金剛經的智言慧語</w:t>
      </w:r>
      <w:r>
        <w:t>—</w:t>
      </w:r>
      <w:r>
        <w:t xml:space="preserve">欲布施不著相，必先於福德不著相　　（第九八二集）　　</w:t>
      </w:r>
      <w:r>
        <w:t>1995/5</w:t>
      </w:r>
      <w:r>
        <w:t xml:space="preserve">　　新加坡佛教居士林（節錄自金剛般若研習報告</w:t>
      </w:r>
      <w:r>
        <w:t>09-023-0084</w:t>
      </w:r>
      <w:r>
        <w:t>集）　　檔名：</w:t>
      </w:r>
      <w:r>
        <w:t xml:space="preserve">29-513-0982 </w:t>
      </w:r>
    </w:p>
    <w:p w14:paraId="7799D285" w14:textId="77777777" w:rsidR="009408FC" w:rsidRDefault="009408FC">
      <w:pPr>
        <w:pStyle w:val="a3"/>
      </w:pPr>
      <w:r>
        <w:t xml:space="preserve">　　【欲布施不著相，必先於福德不著相。布施之所以著相，無非為貪求福德，則大誤矣。】</w:t>
      </w:r>
      <w:r>
        <w:t xml:space="preserve"> </w:t>
      </w:r>
    </w:p>
    <w:p w14:paraId="632E2988" w14:textId="77777777" w:rsidR="009408FC" w:rsidRDefault="009408FC">
      <w:pPr>
        <w:pStyle w:val="a3"/>
      </w:pPr>
      <w:r>
        <w:t xml:space="preserve">　　這一點很要緊！自古以來，在佛門裡面修福的人很多很多，他不知道這個道理，不曉得這個事實真相，也就是說他沒有智慧。他所修的有沒有福？當然有福，福報不大不廣，所謂是有漏的小福報而已。如果是有個智慧的人，了解事實真相，他能把小福報變成無盡的福報。怎麼變法？不分別，不著相，這個福報就無有窮盡。所以不可以貪求福德。修一切福德之因，決定不貪求福德的果報。諸位要知道，你有一個貪心在，你怎麼能出得了三界？三界是怎麼來的？貪瞋痴變現出來的。所以只要有一絲毫的貪心沒斷，貪瞋痴慢疑，所謂是地獄五條根。疑，說老實話，我們今天對於念佛成佛、往生淨土這個法門生起疑惑，那就完了！他這一生沒有超越六道輪迴的指望。所以今天這個疑字，我們要這樣講法，唯有深信淨土法門，發願求生淨土，他才有希望在這一生當中，永脫輪迴，超越三界，他才有希望。貪瞋痴慢疑這五種煩惱，有一絲毫沒有斷乾淨，就出不了三界，也就沒有法子往生。往生雖然是帶業，經上講得很清楚，他是帶業因，帶業習的種子，不帶現行，現行是你現前不能有，你念佛的時候不可以有，那個有，念佛裡頭還夾著貪瞋痴慢疑，這個不能往生。在念佛的時候，煩惱的習氣念頭決定是斷掉了，這一句阿彌陀佛取而代之。心裡頭只有阿彌</w:t>
      </w:r>
      <w:r>
        <w:t xml:space="preserve">陀佛，而沒有貪瞋痴慢疑，那叫功夫，叫做功夫得力。有這些東西摻雜在其中，念佛念得再多，念得再好，一天念十萬聲，也不算功夫，功夫不得力。得力不得力，就看裡面有沒有夾雜。所以我常講淨念，淨就是不懷疑、不夾雜。不懷疑，貪瞋痴慢疑，沒有疑，不夾雜就是不夾雜貪瞋痴慢，這個很重要很重要。貪求福德的貪字壞了，那個就誤了，大誤！　　</w:t>
      </w:r>
    </w:p>
    <w:sectPr w:rsidR="009408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5F07F" w14:textId="77777777" w:rsidR="009408FC" w:rsidRDefault="009408FC" w:rsidP="00752C68">
      <w:r>
        <w:separator/>
      </w:r>
    </w:p>
  </w:endnote>
  <w:endnote w:type="continuationSeparator" w:id="0">
    <w:p w14:paraId="28D4736D" w14:textId="77777777" w:rsidR="009408FC" w:rsidRDefault="009408FC" w:rsidP="00752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7C3F5" w14:textId="77777777" w:rsidR="009408FC" w:rsidRDefault="009408FC" w:rsidP="00752C68">
      <w:r>
        <w:separator/>
      </w:r>
    </w:p>
  </w:footnote>
  <w:footnote w:type="continuationSeparator" w:id="0">
    <w:p w14:paraId="39742821" w14:textId="77777777" w:rsidR="009408FC" w:rsidRDefault="009408FC" w:rsidP="00752C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68"/>
    <w:rsid w:val="00752C68"/>
    <w:rsid w:val="009408F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70AF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2C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2C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2C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2C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