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7D32" w14:textId="77777777" w:rsidR="00C15D9C" w:rsidRDefault="00C15D9C">
      <w:r>
        <w:t>金剛經的智言慧語</w:t>
      </w:r>
      <w:r>
        <w:t>—</w:t>
      </w:r>
      <w:r>
        <w:t xml:space="preserve">所以因果可畏。種善因必得善果　　（第九九五集）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29-513-0995 </w:t>
      </w:r>
    </w:p>
    <w:p w14:paraId="414FB2D8" w14:textId="77777777" w:rsidR="00C15D9C" w:rsidRDefault="00C15D9C">
      <w:pPr>
        <w:pStyle w:val="a3"/>
      </w:pPr>
      <w:r>
        <w:t xml:space="preserve">　　【所以因果可畏。種善因必得善果。】</w:t>
      </w:r>
      <w:r>
        <w:t xml:space="preserve"> </w:t>
      </w:r>
    </w:p>
    <w:p w14:paraId="298CCD7B" w14:textId="77777777" w:rsidR="00C15D9C" w:rsidRDefault="00C15D9C">
      <w:pPr>
        <w:pStyle w:val="a3"/>
      </w:pPr>
      <w:r>
        <w:t xml:space="preserve">　　這是佛在本經前面教給我們，「應無所住，而生其心」。無住就好了，就沒事了，為什麼還要生心？就是因果不空。佛教我們要生無上菩提心，佛教給我們要生覺心，也就是此地講的善因善果。何必要生惡心，何必要變三惡道的惡果？由此可知，不但是六道，連十法界的主人公，是自己。其他宗教裡面講造物主，造物主是誰？造物主是自己，就是自己的念頭。你一個善念現善境界，一個惡念現惡境界，十法界依正莊嚴從心想生。這個道理講得很透徹、很清楚，因此我們對於念佛法門深信不疑。有人說，我們修淨宗的同學，念一本經不會成就，念一句阿彌陀佛不行！你聽了怎麼樣？如果你沒有智慧，聽他們一說，覺得滿有道理；如果你有智慧，聽了之後則哈哈大笑。為什麼？一切法從心想生。我心裡想佛就成佛了，那一部經怎麼不行？一句阿彌陀佛怎麼不行？不但行，決定行！念佛成佛，念佛是因，成佛是果，念菩薩成菩薩。所以不會念的，念得很多，念得很亂，結果他什麼都成不了，因為太亂了，不能感一個純正之果。他念得太雜，念得太亂，這是我們常講的功夫不得力。要想功夫得力，一門深入。</w:t>
      </w:r>
      <w:r>
        <w:t xml:space="preserve"> </w:t>
      </w:r>
    </w:p>
    <w:p w14:paraId="19B3A654" w14:textId="77777777" w:rsidR="00C15D9C" w:rsidRDefault="00C15D9C">
      <w:pPr>
        <w:pStyle w:val="a3"/>
      </w:pPr>
      <w:r>
        <w:t xml:space="preserve">　　菩薩修學六大綱領當中，精進，六波羅蜜，精進是什麼意思？精是精純、精一。一才精，二就不精，你要明白這個道理。精一，心才得定，後面是禪定，這個不可以不知道。禪定不是每天盤腿面壁，每天盤腿面壁的禪定沒用處。禪定是在日常生活當中，禪定是在我們自己每天工作之中，禪定也在我們生活應酬當中。外不著相，內不動心，那就是禪定。不起心、不動念是定，不分別、不執著是慧。定慧在哪裡學？在哪裡修？在哪裡完成？在日常生活當中。這不可以不知道，決定不能誤會。知道因果不空，他決定是斷惡修善，不但不做惡事，他一個惡念也不會生。這就是所謂菩薩畏因，眾生畏果。　　</w:t>
      </w:r>
    </w:p>
    <w:sectPr w:rsidR="00C15D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E0B80" w14:textId="77777777" w:rsidR="00C15D9C" w:rsidRDefault="00C15D9C" w:rsidP="00106A19">
      <w:r>
        <w:separator/>
      </w:r>
    </w:p>
  </w:endnote>
  <w:endnote w:type="continuationSeparator" w:id="0">
    <w:p w14:paraId="536EB768" w14:textId="77777777" w:rsidR="00C15D9C" w:rsidRDefault="00C15D9C" w:rsidP="00106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3787" w14:textId="77777777" w:rsidR="00C15D9C" w:rsidRDefault="00C15D9C" w:rsidP="00106A19">
      <w:r>
        <w:separator/>
      </w:r>
    </w:p>
  </w:footnote>
  <w:footnote w:type="continuationSeparator" w:id="0">
    <w:p w14:paraId="0B89A16A" w14:textId="77777777" w:rsidR="00C15D9C" w:rsidRDefault="00C15D9C" w:rsidP="00106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19"/>
    <w:rsid w:val="00106A19"/>
    <w:rsid w:val="00B519F4"/>
    <w:rsid w:val="00C1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DA0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