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BC5D" w14:textId="77777777" w:rsidR="00A85BD2" w:rsidRDefault="00A85BD2">
      <w:r>
        <w:t>金剛經的智言慧語</w:t>
      </w:r>
      <w:r>
        <w:t>—</w:t>
      </w:r>
      <w:r>
        <w:t xml:space="preserve">亦不自以為能看　　（第九九九集）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29-513-0999 </w:t>
      </w:r>
    </w:p>
    <w:p w14:paraId="5B9CEEA9" w14:textId="77777777" w:rsidR="00A85BD2" w:rsidRDefault="00A85BD2">
      <w:pPr>
        <w:pStyle w:val="a3"/>
      </w:pPr>
      <w:r>
        <w:t xml:space="preserve">　　【亦不自以為能看】</w:t>
      </w:r>
      <w:r>
        <w:t xml:space="preserve"> </w:t>
      </w:r>
    </w:p>
    <w:p w14:paraId="2E7CB00C" w14:textId="77777777" w:rsidR="00A85BD2" w:rsidRDefault="00A85BD2">
      <w:pPr>
        <w:pStyle w:val="a3"/>
      </w:pPr>
      <w:r>
        <w:t xml:space="preserve">　　如果覺得我覺悟了、我明白了，可惜這個人又糊塗了。為什麼？他又起心動念了。你看，又有我見了，我見、人見、眾生見、壽者見，一個見起來，四個見都起來了；又著了「我相」。四相四見具足，還是六道凡夫。註解裡頭江味農居士講得很好，前面我們讀過，「大而化之」、「若無其事」，這個兩句很有味道。我們的心量要大而化之，對於任何人與事，不要去計較，沒事！何必計較。這個人怎樣，那個怎樣，沒事！不必去計較，心要大而化之。心裡頭若無其事，乾乾淨淨，雖然修行，雖然覺照，還是若無其事，這個人真的覺悟了。如果還要有計較，心裡還有事還放不下，這不行。我們無量劫來過錯就在此地，希望這一生不要再犯這個過失。古人所謂：「天下本無事，庸人自擾之。」這兩句話有很深很深的哲學道理在。確實沒有事，事從哪裡來的？都是你妄想分別執著來的。你要把妄想分別執著打掉，哪有事？沒事！沒事才自在，沒事才真有福報，真有福氣，隨遇而安。天下動亂，他不亂；天下不安，他平安，你說這個多幸福！這幾句文裡頭意思很深。　　</w:t>
      </w:r>
    </w:p>
    <w:sectPr w:rsidR="00A85B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E2FD" w14:textId="77777777" w:rsidR="00A85BD2" w:rsidRDefault="00A85BD2" w:rsidP="009F5D55">
      <w:r>
        <w:separator/>
      </w:r>
    </w:p>
  </w:endnote>
  <w:endnote w:type="continuationSeparator" w:id="0">
    <w:p w14:paraId="5518A979" w14:textId="77777777" w:rsidR="00A85BD2" w:rsidRDefault="00A85BD2" w:rsidP="009F5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0AE6" w14:textId="77777777" w:rsidR="00A85BD2" w:rsidRDefault="00A85BD2" w:rsidP="009F5D55">
      <w:r>
        <w:separator/>
      </w:r>
    </w:p>
  </w:footnote>
  <w:footnote w:type="continuationSeparator" w:id="0">
    <w:p w14:paraId="2C0167F7" w14:textId="77777777" w:rsidR="00A85BD2" w:rsidRDefault="00A85BD2" w:rsidP="009F5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55"/>
    <w:rsid w:val="009F5D55"/>
    <w:rsid w:val="00A85B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6E0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D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D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D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D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