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6366" w14:textId="77777777" w:rsidR="00CB0428" w:rsidRDefault="00CB0428">
      <w:r>
        <w:t>金剛經的智言慧語</w:t>
      </w:r>
      <w:r>
        <w:t>—</w:t>
      </w:r>
      <w:r>
        <w:t xml:space="preserve">報身、化身有說而實無念　　（第一Ｏ一五集）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29-513-1015 </w:t>
      </w:r>
    </w:p>
    <w:p w14:paraId="385744E7" w14:textId="77777777" w:rsidR="00CB0428" w:rsidRDefault="00CB0428">
      <w:pPr>
        <w:pStyle w:val="a3"/>
      </w:pPr>
      <w:r>
        <w:t xml:space="preserve">　　【報身、化身有說而實無念】</w:t>
      </w:r>
      <w:r>
        <w:t xml:space="preserve"> </w:t>
      </w:r>
    </w:p>
    <w:p w14:paraId="06FB2DB5" w14:textId="77777777" w:rsidR="00CB0428" w:rsidRDefault="00CB0428">
      <w:pPr>
        <w:pStyle w:val="a3"/>
      </w:pPr>
      <w:r>
        <w:t xml:space="preserve">　　要記住這一句，釋迦牟尼佛三千年前在我們這個世界示現八相成道，示現說法四十九年，他是有說無念，這個要知道。不但佛說法有說而無念，菩薩、羅漢說法也是說法而無念；再往下面看，許多祖師大德們說法也是有說而無念，我們不能不知道。我們學習要從這個地方學，那就正確，就沒有錯誤了。你能學到真的東西，真的東西是自性裡頭，不是心外求法，心外求法就錯了。釋迦牟尼佛講這麼多經典，我們依照這個求，行不行？我們要是真正答覆，那就是須菩提的話，「不也，世尊。」這個「不也」，不是否定詞，也不是肯定詞；不能這個說法，意思就是說，也可以也不可以。怎麼說也可以？展開釋迦牟尼佛所講的這些經論，引發自己的自性般若，可以，那沒錯。譬如《金剛經》擺在我們面前，用釋迦牟尼佛作緣，把我們自性般若引發出來，那怎麼不可以？是可以。我講的《金剛經》，不是釋迦牟尼佛的《金剛經》，是自性的《金剛般若》，這就是可以。假如說，死在這個文字當中，自己智慧沒有現前，還是依照釋迦牟尼佛的這個經文來講，又把他的意思講錯了。釋迦牟尼佛沒有意思，我們這裡講了好多意思，好多意思都是自己的意思，不是佛的意思，這就不可以。所以亦可亦不可，是這麼個道理。由此可知，特別是佛的大乘經，大乘經</w:t>
      </w:r>
      <w:r>
        <w:t xml:space="preserve">都是從實相般若裡面流露出來的，都是從真如本性裡面流露出來的，你怎麼能講？我們求學不能不明白這個道理，不能不懂得怎樣去修學。所以《般若經》上教給我們的大原則，從哪裡學？離相離念。果然離相離念，佛的一切經論，你自然通達，自然明瞭了。就像唐朝六祖惠能大師一樣，他心地清淨，「本來無一物，何處惹塵埃」，一切佛的經典，你念給他聽，他就會給你講，講得非常妙，講的能叫聽的人都開悟。他有沒有念？沒有念，有說無念。我們舉惠能大師，大家都很熟悉，他跟諸佛菩薩一樣，有說無念。可見得中國在歷史上有這種人物，可以拿他來做證明，這不是假的。　　</w:t>
      </w:r>
    </w:p>
    <w:sectPr w:rsidR="00CB04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D7EE0" w14:textId="77777777" w:rsidR="00CB0428" w:rsidRDefault="00CB0428" w:rsidP="005515DC">
      <w:r>
        <w:separator/>
      </w:r>
    </w:p>
  </w:endnote>
  <w:endnote w:type="continuationSeparator" w:id="0">
    <w:p w14:paraId="66BF1196" w14:textId="77777777" w:rsidR="00CB0428" w:rsidRDefault="00CB0428" w:rsidP="00551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D0C2" w14:textId="77777777" w:rsidR="00CB0428" w:rsidRDefault="00CB0428" w:rsidP="005515DC">
      <w:r>
        <w:separator/>
      </w:r>
    </w:p>
  </w:footnote>
  <w:footnote w:type="continuationSeparator" w:id="0">
    <w:p w14:paraId="62580B63" w14:textId="77777777" w:rsidR="00CB0428" w:rsidRDefault="00CB0428" w:rsidP="00551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DC"/>
    <w:rsid w:val="005515DC"/>
    <w:rsid w:val="00B519F4"/>
    <w:rsid w:val="00CB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5DD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5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5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5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5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