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6B7B" w14:textId="77777777" w:rsidR="002704A1" w:rsidRDefault="002704A1">
      <w:r>
        <w:t>金剛經的智言慧語</w:t>
      </w:r>
      <w:r>
        <w:t>—</w:t>
      </w:r>
      <w:r>
        <w:t xml:space="preserve">佛知，是三心不可得　　（第一Ｏ二八集）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29-513-1028 </w:t>
      </w:r>
    </w:p>
    <w:p w14:paraId="4A19128B" w14:textId="77777777" w:rsidR="002704A1" w:rsidRDefault="002704A1">
      <w:pPr>
        <w:pStyle w:val="a3"/>
      </w:pPr>
      <w:r>
        <w:t xml:space="preserve">　　【佛知，是三心不可得。一切法本無生。末後結曰：以無我人眾壽，修一切善法，則得阿耨菩提。其示學人應通達內心外境。】</w:t>
      </w:r>
      <w:r>
        <w:t xml:space="preserve"> </w:t>
      </w:r>
    </w:p>
    <w:p w14:paraId="3EE93590" w14:textId="77777777" w:rsidR="002704A1" w:rsidRDefault="002704A1">
      <w:pPr>
        <w:pStyle w:val="a3"/>
      </w:pPr>
      <w:r>
        <w:t xml:space="preserve">　　內，三心不可得，外，萬法因緣生，當體即空，了不可得，能執所執俱不可得，這是佛知佛見。所以佛才能不執一不執異。如果我們就大的境界上來看，一是一真法界，異是十法界，諸佛如來一真法界跟十法界都不執著。現相在不在？在，存在，一真法界的相在，十法界的相也在。佛為什麼不執著？相有體空。所以他都不執著，他在一真法界、十法界裡面得大自在。哪個地方眾生有感，他哪裡就應，像《普門品》裡面所說的，應以什麼身得度，他就現什麼樣的身，他能得這樣的自在。他這個自在怎麼得來的？不執一異，這個很要緊很要緊。人家心清淨，心裡面一念不生，才有這種能力。</w:t>
      </w:r>
      <w:r>
        <w:t xml:space="preserve"> </w:t>
      </w:r>
    </w:p>
    <w:p w14:paraId="13B8B1B4" w14:textId="77777777" w:rsidR="002704A1" w:rsidRDefault="002704A1">
      <w:pPr>
        <w:pStyle w:val="a3"/>
      </w:pPr>
      <w:r>
        <w:t xml:space="preserve">　　末後總結，這是教給我們修行的原則，無我人眾壽，離四相、離四見。簡單的講，離相離念，念就是四見，離相離念修一切善法，這樣才能夠證得無上正等正覺。這是唯一的修功，修行要這樣修法，這是般若會上行門最高的指導原則，不可以不知道。這個原則通一切法，無論是哪個宗派，無論是哪個法門，都不能夠與這個原則違背，違背就不成就。禪要遵守，教也要遵守，我們念佛，剛才講了，守住這個原則可以得理一心不亂；學密也要遵守，不遵守不能即身成佛，即身成佛就是證得阿耨多羅三藐三菩提。　　</w:t>
      </w:r>
    </w:p>
    <w:sectPr w:rsidR="002704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C997" w14:textId="77777777" w:rsidR="002704A1" w:rsidRDefault="002704A1" w:rsidP="00F902FC">
      <w:r>
        <w:separator/>
      </w:r>
    </w:p>
  </w:endnote>
  <w:endnote w:type="continuationSeparator" w:id="0">
    <w:p w14:paraId="65E3F11D" w14:textId="77777777" w:rsidR="002704A1" w:rsidRDefault="002704A1" w:rsidP="00F90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9221" w14:textId="77777777" w:rsidR="002704A1" w:rsidRDefault="002704A1" w:rsidP="00F902FC">
      <w:r>
        <w:separator/>
      </w:r>
    </w:p>
  </w:footnote>
  <w:footnote w:type="continuationSeparator" w:id="0">
    <w:p w14:paraId="5515A2BC" w14:textId="77777777" w:rsidR="002704A1" w:rsidRDefault="002704A1" w:rsidP="00F90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FC"/>
    <w:rsid w:val="002704A1"/>
    <w:rsid w:val="00B519F4"/>
    <w:rsid w:val="00F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239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