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B1BA3" w14:textId="77777777" w:rsidR="005E0E47" w:rsidRDefault="005E0E47">
      <w:r>
        <w:t>金剛經的智言慧語</w:t>
      </w:r>
      <w:r>
        <w:t>—</w:t>
      </w:r>
      <w:r>
        <w:t xml:space="preserve">必須離名絕相，依本寂以修定，依本照以修慧　　（第一一Ｏ九集）　　</w:t>
      </w:r>
      <w:r>
        <w:t>1995/5</w:t>
      </w:r>
      <w:r>
        <w:t xml:space="preserve">　　新加坡佛教居士林（節錄自金剛般若研習報告</w:t>
      </w:r>
      <w:r>
        <w:t>09-023-0097</w:t>
      </w:r>
      <w:r>
        <w:t>集）　　檔名：</w:t>
      </w:r>
      <w:r>
        <w:t xml:space="preserve">29-513-1109 </w:t>
      </w:r>
    </w:p>
    <w:p w14:paraId="08902651" w14:textId="77777777" w:rsidR="005E0E47" w:rsidRDefault="005E0E47">
      <w:pPr>
        <w:pStyle w:val="a3"/>
      </w:pPr>
      <w:r>
        <w:t xml:space="preserve">　　【必須離名絕相，依本寂以修定，依本照以修慧。】</w:t>
      </w:r>
      <w:r>
        <w:t xml:space="preserve"> </w:t>
      </w:r>
    </w:p>
    <w:p w14:paraId="1D1AACB2" w14:textId="77777777" w:rsidR="005E0E47" w:rsidRDefault="005E0E47">
      <w:pPr>
        <w:pStyle w:val="a3"/>
      </w:pPr>
      <w:r>
        <w:t xml:space="preserve">　　我們就看這兩句。這個標準高，說起來還勉強，我們能不能做得到？這種修法，就是大乘常說的，始覺合本覺，修定修慧是始覺，本寂本照是本覺，始覺合本，始本不二，那叫究竟覺。這個話我會說，我很熟，但是做不到。做不到，這個話就是一句空話，沒意義！可是我們自己要曉得，《楞嚴》上真的是為我們透出這個消息。本寂本照在哪裡？佛在楞嚴會上說，就在我們六根門頭放光動地，不在別的地方，就在六根門頭。六根門頭是眼耳鼻舌身意，就在這裡。怎麼個修法？交光大師所講的，跟這個地方所講的一個意思，但是這個話是不一樣的。交光法師講的捨識用根，跟此地講的「依本寂以修定，依本照以修慧」，意思完全相同。</w:t>
      </w:r>
      <w:r>
        <w:t xml:space="preserve"> </w:t>
      </w:r>
    </w:p>
    <w:p w14:paraId="235FF624" w14:textId="77777777" w:rsidR="005E0E47" w:rsidRDefault="005E0E47">
      <w:pPr>
        <w:pStyle w:val="a3"/>
      </w:pPr>
      <w:r>
        <w:t xml:space="preserve">　　六根本定，六根本照，我們舉一個例子，就不必講六樣，講一樣其他的都可以以此類推。我們以眼見，我們眼睛看外面的境界，這個境界在佛法講色相，眼睛看外面的色相，看得很清楚、很明白。眼睛就像一面鏡子一樣照見，照得清清楚楚、了了分明是慧，是本照。雖然照，這裡面確實沒有分別、沒有執著、沒有妄想，那是定，本寂。眼如是，耳鼻舌身樣樣都如是。我們在見的時候，他會打妄想，會起心動念，這個很好看，多看幾眼，那個不好看，不想再看它了，這是定也沒有了，慧也沒有了。你心動，你在這個境界上起了分別執著，起了好惡，起了貪瞋痴，你就錯了。如何保持見色聞聲，不起心、不動念、不分別、不執著，那就是這兩句話，依本寂修定，依本照修慧，就是這兩句話。</w:t>
      </w:r>
      <w:r>
        <w:t xml:space="preserve"> </w:t>
      </w:r>
    </w:p>
    <w:p w14:paraId="337295E0" w14:textId="77777777" w:rsidR="005E0E47" w:rsidRDefault="005E0E47">
      <w:pPr>
        <w:pStyle w:val="a3"/>
      </w:pPr>
      <w:r>
        <w:t xml:space="preserve">　　交光大師在《楞嚴經》註解裡面，教給我們用的這個方法，他沒教錯。但是我們就是沒有法子用得上，見色聞聲還是會起心動念，還是會分別執著，那就沒法子。方法不是不好，理論沒錯，問題出在哪裡？問題出在我們自己無始劫來習氣太深，業障太重，習氣太深，這個方法沒有辦法，改不過來。正是因為改不過來，所以佛才教給我們念阿彌陀佛，這個方法我們可以做得到，但是也要警覺心很高；如果警覺心不高，阿彌陀佛忘掉了，那有什麼辦法？那就沒有法子了。功夫怎麼用？當我們見色聞聲，心裡面如果起了妄想，起了分別執著，趕快阿彌陀佛；用一句阿彌陀佛把那些妄想分別執著壓下去，降伏其心。用什麼降伏？用阿彌陀佛降伏其心，用這個方法。這樣的人會念佛，他真會念佛。有人一天到晚拿著念珠阿彌陀佛、阿彌陀佛、阿彌陀佛，念念相續，沒錯！但是念念之中都把妄想分別執著壓下去，這個念佛叫功夫，有功夫。如果一面阿彌陀佛、阿彌陀佛，一面還在打妄想，那什麼都完了，那只是樣子而已。古人講的你一天念十萬聲，喊破喉嚨也枉然，沒用處！功夫得力不得力，就是你這一句阿彌陀佛，能不能把所有一切的妄想分別執著統統伏住？降伏其心，我們用這種方法，比般若的方法好。這個方法，業障深重、習氣深重行！還能用得</w:t>
      </w:r>
      <w:r>
        <w:t xml:space="preserve">上。般若裡面，你用本寂本照，那你的業障習氣重，完全用不上。所以這一句阿彌陀佛好，你真肯用，當然開始有困難，開始想壓壓不住，只要你真肯壓，真肯幹，就得諸佛護念，就得諸菩薩來幫助你，所謂是三寶加持。慢慢會叫你功夫得力，能叫你伏得住，伏住之後，你就能夠得功夫成片、得一心不亂。　　</w:t>
      </w:r>
    </w:p>
    <w:sectPr w:rsidR="005E0E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4024D" w14:textId="77777777" w:rsidR="005E0E47" w:rsidRDefault="005E0E47" w:rsidP="00031739">
      <w:r>
        <w:separator/>
      </w:r>
    </w:p>
  </w:endnote>
  <w:endnote w:type="continuationSeparator" w:id="0">
    <w:p w14:paraId="16F22A1A" w14:textId="77777777" w:rsidR="005E0E47" w:rsidRDefault="005E0E47" w:rsidP="00031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25F9D" w14:textId="77777777" w:rsidR="005E0E47" w:rsidRDefault="005E0E47" w:rsidP="00031739">
      <w:r>
        <w:separator/>
      </w:r>
    </w:p>
  </w:footnote>
  <w:footnote w:type="continuationSeparator" w:id="0">
    <w:p w14:paraId="153B96E0" w14:textId="77777777" w:rsidR="005E0E47" w:rsidRDefault="005E0E47" w:rsidP="000317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39"/>
    <w:rsid w:val="00031739"/>
    <w:rsid w:val="005E0E4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F9A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7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7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7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7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