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CED4" w14:textId="77777777" w:rsidR="00E07C2B" w:rsidRDefault="00E07C2B">
      <w:r>
        <w:t>兩分鐘開示</w:t>
      </w:r>
      <w:r>
        <w:t>—</w:t>
      </w:r>
      <w:r>
        <w:t>阿彌陀佛從哪來的？　　（第六二六集）　　檔名：</w:t>
      </w:r>
      <w:r>
        <w:t xml:space="preserve">29-517-0626 </w:t>
      </w:r>
    </w:p>
    <w:p w14:paraId="50DE9573" w14:textId="77777777" w:rsidR="00E07C2B" w:rsidRDefault="00E07C2B">
      <w:pPr>
        <w:pStyle w:val="a3"/>
      </w:pPr>
      <w:r>
        <w:t xml:space="preserve">　　念老後面這幾句話，故得遠離魔難，安穩修持。仗他力故，化險為夷。這幾句話說得好，真正是易行道。或者有人「以談他力為著相」，學教的人、學禪的人認為這是著相。念老告訴我們，「應知他力，亦是自心」。這個解釋是真的，為什麼？阿彌陀佛從哪來的？是我們自性變現出來的，離開自性，沒有一法可得。所以淨宗講自性彌陀，唯心淨土，阿彌陀佛是自性變的，極樂世界也是自性變的。自他是一不是二，「自他宛然」。從事上看，好像自他是對立的，從自性上看，自他是一不是二。　　節錄自：</w:t>
      </w:r>
      <w:r>
        <w:t>02-041-0012</w:t>
      </w:r>
      <w:r>
        <w:t xml:space="preserve">二零一四淨土大經科註　　</w:t>
      </w:r>
    </w:p>
    <w:sectPr w:rsidR="00E07C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CAB59" w14:textId="77777777" w:rsidR="00E07C2B" w:rsidRDefault="00E07C2B" w:rsidP="004178B0">
      <w:r>
        <w:separator/>
      </w:r>
    </w:p>
  </w:endnote>
  <w:endnote w:type="continuationSeparator" w:id="0">
    <w:p w14:paraId="48D1BB2D" w14:textId="77777777" w:rsidR="00E07C2B" w:rsidRDefault="00E07C2B" w:rsidP="00417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26D2F" w14:textId="77777777" w:rsidR="00E07C2B" w:rsidRDefault="00E07C2B" w:rsidP="004178B0">
      <w:r>
        <w:separator/>
      </w:r>
    </w:p>
  </w:footnote>
  <w:footnote w:type="continuationSeparator" w:id="0">
    <w:p w14:paraId="56F830C7" w14:textId="77777777" w:rsidR="00E07C2B" w:rsidRDefault="00E07C2B" w:rsidP="004178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B0"/>
    <w:rsid w:val="004178B0"/>
    <w:rsid w:val="00B519F4"/>
    <w:rsid w:val="00E0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00A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8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8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8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8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