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5030" w14:textId="77777777" w:rsidR="007A430A" w:rsidRDefault="007A430A">
      <w:r>
        <w:t>兩分鐘開示</w:t>
      </w:r>
      <w:r>
        <w:t>—</w:t>
      </w:r>
      <w:r>
        <w:t>淨土宗不談無相，不談離念。　　（第六三一集）　　檔名：</w:t>
      </w:r>
      <w:r>
        <w:t xml:space="preserve">29-517-0631 </w:t>
      </w:r>
    </w:p>
    <w:p w14:paraId="3AC60626" w14:textId="77777777" w:rsidR="007A430A" w:rsidRDefault="007A430A">
      <w:pPr>
        <w:pStyle w:val="a3"/>
      </w:pPr>
      <w:r>
        <w:t xml:space="preserve">　　淨土宗不談無相，不談離念，而且什麼？指方，指定西方極樂世界，立相有極樂世界，有西方三聖，叫你把心住在佛號上，這叫住心取境。其他的是心裡面什麼都不能有，有就錯了。淨宗法門心裡准許有阿彌陀佛，阿彌陀佛之外的不能有，這就好辦多了，容易太多了。我們把心裡頭念頭雜念統統清除掉，只把阿彌陀佛放進來，二六時中就守住這一句阿彌陀佛，不需要搞無相，不需要離念。　　節錄自：</w:t>
      </w:r>
      <w:r>
        <w:t>02-041-0012</w:t>
      </w:r>
      <w:r>
        <w:t xml:space="preserve">二零一四淨土大經科註　　</w:t>
      </w:r>
    </w:p>
    <w:sectPr w:rsidR="007A4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5C028" w14:textId="77777777" w:rsidR="007A430A" w:rsidRDefault="007A430A" w:rsidP="00DD041D">
      <w:r>
        <w:separator/>
      </w:r>
    </w:p>
  </w:endnote>
  <w:endnote w:type="continuationSeparator" w:id="0">
    <w:p w14:paraId="7ACD20E1" w14:textId="77777777" w:rsidR="007A430A" w:rsidRDefault="007A430A" w:rsidP="00DD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333C" w14:textId="77777777" w:rsidR="007A430A" w:rsidRDefault="007A430A" w:rsidP="00DD041D">
      <w:r>
        <w:separator/>
      </w:r>
    </w:p>
  </w:footnote>
  <w:footnote w:type="continuationSeparator" w:id="0">
    <w:p w14:paraId="531FEB8E" w14:textId="77777777" w:rsidR="007A430A" w:rsidRDefault="007A430A" w:rsidP="00DD0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1D"/>
    <w:rsid w:val="007A430A"/>
    <w:rsid w:val="00B519F4"/>
    <w:rsid w:val="00DD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C74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