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698D" w14:textId="77777777" w:rsidR="003A6717" w:rsidRDefault="003A6717">
      <w:r>
        <w:t>兩分鐘開示</w:t>
      </w:r>
      <w:r>
        <w:t>—</w:t>
      </w:r>
      <w:r>
        <w:t>心地清淨善良，沒有一樣求不到　　（第六三四集）　　檔名：</w:t>
      </w:r>
      <w:r>
        <w:t xml:space="preserve">29-517-0634 </w:t>
      </w:r>
    </w:p>
    <w:p w14:paraId="3B463BDC" w14:textId="77777777" w:rsidR="003A6717" w:rsidRDefault="003A6717">
      <w:pPr>
        <w:pStyle w:val="a3"/>
      </w:pPr>
      <w:r>
        <w:t xml:space="preserve">　　章嘉大師早年教給我，佛氏門中，有求必應，不是假的。你有求沒有感應，是你用心不善，那就求不到。如果心地清淨善良，沒有不感應的，求財得財，求聰明智慧得聰明智慧，求功名得功名，求富貴得富貴，沒有一樣求不到的。為什麼？境隨心轉，你把那個心一轉正，都現前了。　　節錄自：</w:t>
      </w:r>
      <w:r>
        <w:t>02-041-0012</w:t>
      </w:r>
      <w:r>
        <w:t xml:space="preserve">二零一四淨土大經科註　　</w:t>
      </w:r>
    </w:p>
    <w:sectPr w:rsidR="003A67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F7959" w14:textId="77777777" w:rsidR="003A6717" w:rsidRDefault="003A6717" w:rsidP="00894351">
      <w:r>
        <w:separator/>
      </w:r>
    </w:p>
  </w:endnote>
  <w:endnote w:type="continuationSeparator" w:id="0">
    <w:p w14:paraId="52FD7F7F" w14:textId="77777777" w:rsidR="003A6717" w:rsidRDefault="003A6717" w:rsidP="00894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BEE9" w14:textId="77777777" w:rsidR="003A6717" w:rsidRDefault="003A6717" w:rsidP="00894351">
      <w:r>
        <w:separator/>
      </w:r>
    </w:p>
  </w:footnote>
  <w:footnote w:type="continuationSeparator" w:id="0">
    <w:p w14:paraId="408402C5" w14:textId="77777777" w:rsidR="003A6717" w:rsidRDefault="003A6717" w:rsidP="00894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51"/>
    <w:rsid w:val="003A6717"/>
    <w:rsid w:val="008943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BB1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3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3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3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3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