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97E9" w14:textId="77777777" w:rsidR="00DB3F89" w:rsidRDefault="00DB3F89">
      <w:r>
        <w:t>三時繫念精華</w:t>
      </w:r>
      <w:r>
        <w:t>—</w:t>
      </w:r>
      <w:r>
        <w:t>華開見佛悟無生。不退菩薩為伴侶。法寶實難量。如來金口宣揚。　　（第一六二集）　　檔名：</w:t>
      </w:r>
      <w:r>
        <w:t xml:space="preserve">29-518-0162 </w:t>
      </w:r>
    </w:p>
    <w:p w14:paraId="2C0A86AF" w14:textId="77777777" w:rsidR="00DB3F89" w:rsidRDefault="00DB3F89">
      <w:pPr>
        <w:pStyle w:val="a3"/>
      </w:pPr>
      <w:r>
        <w:t xml:space="preserve">　　生到西方極樂世界，蓮花化生，上品上生，到那個地方很快花就開了。『華開』代表什麼？代表你自己，這不是阿彌陀佛的加持，是你自己修行的功夫達到了理一心不亂。我們往生大多數是功夫成片往生的，生到西方極樂世界在蓮花裡面，花沒有開。到什麼時候花開？到證得理一心不亂，也就是大徹大悟、明心見性。因為你在蓮花裡面，佛來教你，諸佛如來來給你講經說法，你喜歡修什麼法門，都能學得到。</w:t>
      </w:r>
      <w:r>
        <w:t xml:space="preserve"> </w:t>
      </w:r>
    </w:p>
    <w:p w14:paraId="2ADDB487" w14:textId="77777777" w:rsidR="00DB3F89" w:rsidRDefault="00DB3F89">
      <w:pPr>
        <w:pStyle w:val="a3"/>
      </w:pPr>
      <w:r>
        <w:t xml:space="preserve">　　『不退菩薩』，七地以上圓證三不退的菩薩，是你的同參道友，是你的同學，是你在一起學習的朋友。這麼多好的同參道友，又有諸佛如來來教學，你想想看，你很快就開悟了。大徹大悟，明心見性，蓮花就開了。所以蓮花一開，這是什麼境界？實報莊嚴土。蓮花裡面是凡聖同居土、是方便有餘土；花開之後，是實報莊嚴土，這是你親證的境界。</w:t>
      </w:r>
      <w:r>
        <w:t xml:space="preserve"> </w:t>
      </w:r>
    </w:p>
    <w:p w14:paraId="1663676D" w14:textId="77777777" w:rsidR="00DB3F89" w:rsidRDefault="00DB3F89">
      <w:pPr>
        <w:pStyle w:val="a3"/>
      </w:pPr>
      <w:r>
        <w:t xml:space="preserve">　　所有一切開示、讚頌、發願，無一不是顯示西方極樂世界依正莊嚴，無比殊勝。我們聽了、我們看了，應當發願，往生佛國。這個緣真正是「百千萬劫難遭遇」，彭際清居士講得好，「無量劫來希有難逢之一日」，我們今天遇到了。『法寶實難量』，就是實實在在不可思議。我們不要看別的經論，就是現在我們讀到的這個三時繫念法事，你看看《彌陀經》、往生咒，裡面的讚佛、發願、開示，就看這麼一點點已經不可思議。何況一大藏教，實實在在難思難議，不可思議。從事相上來看，佛是身金色，佛身是金色的，所以我們說他的面孔是金面，說他的口是金口。要從理上來講，七寶裡頭，金為什麼大家這樣重視它？就是金不變，其他的譬如銀，它會氧化，會變成黑色的。唯獨黃金在任何狀況之下，都保持它的本色，不會變色，這是金屬裡頭，大家寶貴的。「金口」就是如來所說的永恆不變，「金」有這個意思，表這個意思。這一切法是「如來金口宣揚」的。　　節錄自：</w:t>
      </w:r>
      <w:r>
        <w:t>20-015-0049</w:t>
      </w:r>
      <w:r>
        <w:t xml:space="preserve">中峰三時繫念法事全集　　</w:t>
      </w:r>
    </w:p>
    <w:sectPr w:rsidR="00DB3F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0700F" w14:textId="77777777" w:rsidR="00DB3F89" w:rsidRDefault="00DB3F89" w:rsidP="00A54236">
      <w:r>
        <w:separator/>
      </w:r>
    </w:p>
  </w:endnote>
  <w:endnote w:type="continuationSeparator" w:id="0">
    <w:p w14:paraId="225242D4" w14:textId="77777777" w:rsidR="00DB3F89" w:rsidRDefault="00DB3F89" w:rsidP="00A54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950E1" w14:textId="77777777" w:rsidR="00DB3F89" w:rsidRDefault="00DB3F89" w:rsidP="00A54236">
      <w:r>
        <w:separator/>
      </w:r>
    </w:p>
  </w:footnote>
  <w:footnote w:type="continuationSeparator" w:id="0">
    <w:p w14:paraId="7DB95D48" w14:textId="77777777" w:rsidR="00DB3F89" w:rsidRDefault="00DB3F89" w:rsidP="00A542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36"/>
    <w:rsid w:val="00A54236"/>
    <w:rsid w:val="00B519F4"/>
    <w:rsid w:val="00DB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09EC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42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42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42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42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