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76CC" w14:textId="77777777" w:rsidR="006C17B5" w:rsidRDefault="006C17B5">
      <w:r>
        <w:t>淨土大經解演義節要</w:t>
      </w:r>
      <w:r>
        <w:t>—</w:t>
      </w:r>
      <w:r>
        <w:t>你造作的業，統統都有檔案，有記錄　　（第一二四八集）　　檔名：</w:t>
      </w:r>
      <w:r>
        <w:t xml:space="preserve">29-519-1248 </w:t>
      </w:r>
    </w:p>
    <w:p w14:paraId="66F94F57" w14:textId="77777777" w:rsidR="006C17B5" w:rsidRDefault="006C17B5">
      <w:pPr>
        <w:pStyle w:val="a3"/>
      </w:pPr>
      <w:r>
        <w:t xml:space="preserve">　　「阿難答曰：因有不可思議業力，致使諸天依空而住。業者，《俱舍光記十三》曰造作名業。謂身口意之所作名業，作善名善業，作惡名惡業；善業有生樂果之力用，惡業有生苦果之力用，故名業力。」業就是造作。古大德為我們用具體事實來說，正在造作的時候叫事，你在做事，有善事、有惡事，事造作完之後就叫業。你看學生在上課，叫作業，功課統統學完叫畢業，業完畢了。我們正在造的時候就做事，造完之後就結業。業在哪裡？業在阿賴耶。等於說你造作的統統都有檔案，有記錄。收藏在哪裡？收藏在阿賴耶。阿賴耶是你的資料庫，保存很久，永遠保存，你生生世世它都保存住。如果要不保存，你證得宿命通，你怎麼能知道過去世？證得宿命通，沒有別的，就等於說你可以把過去世這些資料檔案統統調出來看，就這個意思。我們凡夫不知道藏在哪裡，調不出來，宿命通的人可以把自己無量劫前的檔案全調出來，知道過去幹些什麼。所以造作不能大意、不能糊塗，你的資料室藏的檔案全是惡業，那就不好。惡業一定感得惡報，遇到惡緣，果報現前；善業感得善果，遇到緣分的時候，這個善果就現前。善果是人天福報，你這一生當中享大福報，擁有財富，或者是你得到很高的地位，全是命中有的，半點不由人。所以這些都不能不知道。</w:t>
      </w:r>
      <w:r>
        <w:t xml:space="preserve"> </w:t>
      </w:r>
    </w:p>
    <w:p w14:paraId="0565B7A4" w14:textId="77777777" w:rsidR="006C17B5" w:rsidRDefault="006C17B5">
      <w:pPr>
        <w:pStyle w:val="a3"/>
      </w:pPr>
      <w:r>
        <w:t xml:space="preserve">　　《有部毘奈耶》第四十六卷說，「不思議業力，雖遠必相牽」。這個遠就是過去，幾百年、幾千年、幾萬年，在佛法裡面講無量劫，你所造的這個業力，遇到緣的話，這個業力就會起現行，它起作用。「果報成熟時，求避終難脫」。要是惡報來的時候，你想躲避躲不掉，你一定要受。善有善果，惡有惡報，非常可怕。人與人這些關係，在我們中國古德講，這就是倫理的關係。倫理是講人跟人的關係，擴大來，人與一切眾生的關係，人與天地鬼神的關係，人與花草樹木的關係，人與山河大地的關係，統統叫倫理。遍法界虛空界是一個整體，不能分割，佛菩薩知道，所以佛菩薩的慈悲叫「同體大悲，無緣大慈」。無緣是無條件的，沒有理由的，沒有條件，自自然然應該要做的。凡夫迷失了自性，不知道這個關係，就造作很多錯事情，造無量無邊罪業，是因為無知。業因果報，絲毫不爽。　　節錄自：</w:t>
      </w:r>
      <w:r>
        <w:t>02-039-0344</w:t>
      </w:r>
      <w:r>
        <w:t xml:space="preserve">淨土大經解演義　　</w:t>
      </w:r>
    </w:p>
    <w:sectPr w:rsidR="006C17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67E9" w14:textId="77777777" w:rsidR="006C17B5" w:rsidRDefault="006C17B5" w:rsidP="0089757B">
      <w:r>
        <w:separator/>
      </w:r>
    </w:p>
  </w:endnote>
  <w:endnote w:type="continuationSeparator" w:id="0">
    <w:p w14:paraId="4A61E159" w14:textId="77777777" w:rsidR="006C17B5" w:rsidRDefault="006C17B5" w:rsidP="00897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ABA51" w14:textId="77777777" w:rsidR="006C17B5" w:rsidRDefault="006C17B5" w:rsidP="0089757B">
      <w:r>
        <w:separator/>
      </w:r>
    </w:p>
  </w:footnote>
  <w:footnote w:type="continuationSeparator" w:id="0">
    <w:p w14:paraId="66A3DF97" w14:textId="77777777" w:rsidR="006C17B5" w:rsidRDefault="006C17B5" w:rsidP="008975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7B"/>
    <w:rsid w:val="006C17B5"/>
    <w:rsid w:val="008975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6D4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75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75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75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75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