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DEE3" w14:textId="77777777" w:rsidR="002348AF" w:rsidRDefault="002348AF">
      <w:r>
        <w:t>淨土大經解演義節要</w:t>
      </w:r>
      <w:r>
        <w:t>—</w:t>
      </w:r>
      <w:r>
        <w:t>你一天、一年、這一輩子起多少念頭？　　（第一二九四集）　　檔名：</w:t>
      </w:r>
      <w:r>
        <w:t xml:space="preserve">29-519-1294 </w:t>
      </w:r>
    </w:p>
    <w:p w14:paraId="1FEF752C" w14:textId="77777777" w:rsidR="002348AF" w:rsidRDefault="002348AF">
      <w:pPr>
        <w:pStyle w:val="a3"/>
      </w:pPr>
      <w:r>
        <w:t xml:space="preserve">　　第七，「知一切至處道智力。」一切眾生所學的、所造的種種業不同，至處就是他到達的地方，我們可以把它說出他必定感得的果報。修因一定感果，佛知道。我們過去生生世世所修學的，得報是緣，每一個人阿賴耶識裡頭業習種子無量無邊無窮無盡。佛在經上講得好，如果這些業習種子要是有體積的話，這個體積哪怕再小，小到像現在的粒子那麼大，佛說遍法界虛空界都容納不下。真的嗎？真的。要知道我們每一秒鐘起多少個念頭？彌勒菩薩跟我們說的，一千六百兆，一秒鐘。那你一天起多少？你一年起多少？你這一輩子起多少？還有上一輩子，過去無始，生生世世，佛講這個話一點都不假。這麼多的業習種子，每一個業習種子遇緣都有報，受報的時候又造業，業習種子只有增加，沒有減少，你說多可怕，止不住！</w:t>
      </w:r>
      <w:r>
        <w:t xml:space="preserve"> </w:t>
      </w:r>
    </w:p>
    <w:p w14:paraId="406ED022" w14:textId="77777777" w:rsidR="002348AF" w:rsidRDefault="002348AF">
      <w:pPr>
        <w:pStyle w:val="a3"/>
      </w:pPr>
      <w:r>
        <w:t xml:space="preserve">　　真正修行人，依照釋迦牟尼佛的教誨來修學，他知止，他懂得這個道理，知道我們的心要像止水一樣，要乾淨，要不動。這就是講修行功夫，這是三昧、定功，定在一處，不讓他造業。總的原則，總的綱領，就是《無量壽經》的經題，定在清淨上，定在平等上，定在覺而不迷上，這是總原則、總綱領，覺正淨。覺正淨雖然是三個，它三個關係很密切，一個得到，三個全得到。覺悟的人，哪有不正，哪有不定，不正不定怎麼會覺？心地清淨的人一定有定，定起作用一定是慧，一定是覺。所以這是一而三，三而一，你修一個，三個都得到。所以諸佛如來、祖師大德教我們止於一處，制心一處，非常正確，這是真實話，這不是假話。我們今天就應當把意念完全放在阿彌陀佛上，目標鎖定在極樂世界，一心一意，我就求生淨土。這一本《無量壽經》，這是介紹西方極樂世界理事因果的說明書，我們讀了之後，對西方極樂世界瞭如指掌，知道極樂世界是一切諸佛介紹給法界眾生究竟成道的一個法門。這個法門簡單、容易、穩當、快速，成就無比殊勝，人人都能修，人人都能成就，為什麼不學？　　節錄自：</w:t>
      </w:r>
      <w:r>
        <w:t>02-039-0369</w:t>
      </w:r>
      <w:r>
        <w:t xml:space="preserve">淨土大經解演義　　</w:t>
      </w:r>
    </w:p>
    <w:sectPr w:rsidR="002348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9610" w14:textId="77777777" w:rsidR="002348AF" w:rsidRDefault="002348AF" w:rsidP="00AC2CA9">
      <w:r>
        <w:separator/>
      </w:r>
    </w:p>
  </w:endnote>
  <w:endnote w:type="continuationSeparator" w:id="0">
    <w:p w14:paraId="4BD3E2A6" w14:textId="77777777" w:rsidR="002348AF" w:rsidRDefault="002348AF" w:rsidP="00AC2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030F" w14:textId="77777777" w:rsidR="002348AF" w:rsidRDefault="002348AF" w:rsidP="00AC2CA9">
      <w:r>
        <w:separator/>
      </w:r>
    </w:p>
  </w:footnote>
  <w:footnote w:type="continuationSeparator" w:id="0">
    <w:p w14:paraId="11AF300A" w14:textId="77777777" w:rsidR="002348AF" w:rsidRDefault="002348AF" w:rsidP="00AC2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A9"/>
    <w:rsid w:val="002348AF"/>
    <w:rsid w:val="00AC2C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391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