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10FC" w14:textId="77777777" w:rsidR="003B08B7" w:rsidRDefault="003B08B7">
      <w:r>
        <w:t>淨土大經解演義節要</w:t>
      </w:r>
      <w:r>
        <w:t>—</w:t>
      </w:r>
      <w:r>
        <w:t>如果想發財真能發財，佛菩薩都跟你學了　　（第一三Ｏ七集）　　檔名：</w:t>
      </w:r>
      <w:r>
        <w:t xml:space="preserve">29-519-1307 </w:t>
      </w:r>
    </w:p>
    <w:p w14:paraId="2BD180B8" w14:textId="77777777" w:rsidR="003B08B7" w:rsidRDefault="003B08B7">
      <w:pPr>
        <w:pStyle w:val="a3"/>
      </w:pPr>
      <w:r>
        <w:t xml:space="preserve">　　我們看今天的社會，緣是什麼？緣是社會教育，我們可以說家庭教育、學校教育、社會教育、宗教教育都是緣，看你接受哪一種教育，你就變成哪一類。今天，教育是被大家普遍疏忽，人心目當中別的東西沒有，只想金錢，你說糟糕不糟糕。只想發財，能發得了嗎？如果想發財真能發得了，我給諸位說，佛菩薩都跟你學了，他也想發財，聖賢君子不就全都跟你學了嗎？他為什麼不跟你學？他了解事實真相，這個東西求不得。八苦裡頭有求不得苦，不是你有求就來了，求不得。那得什麼？命裡有的時候自然就有，命裡無的時候怎麼求都求不到，這個一點都不假。從前念書人都懂這個道理，所以什麼？他不求。</w:t>
      </w:r>
      <w:r>
        <w:t xml:space="preserve"> </w:t>
      </w:r>
    </w:p>
    <w:p w14:paraId="1F43DF46" w14:textId="77777777" w:rsidR="003B08B7" w:rsidRDefault="003B08B7">
      <w:pPr>
        <w:pStyle w:val="a3"/>
      </w:pPr>
      <w:r>
        <w:t xml:space="preserve">　　孔子懂這個道理。孔子生活相當艱苦，不是富有，孔子連小康都做不到，他過的是一般平民生活。學生當中，物質生活最艱難的，顏回，簞食瓢飲，吃飯連飯碗都沒有，用竹子編一個簍子當飯碗；喝水連個杯子都沒有，用葫蘆瓢喝水。過那樣的生活，他快樂，你見到他，他都是滿面笑容，從來沒有憂悲苦惱這種態度出現。為什麼？他懂因果，他明白這個當中的道理。所以他屬於正定聚，他不是邪定。一般人受這種苦難的生活，他就熬不過去，他就想入非非，損人利己，如何竊取別人的，滿足自己的欲望，那就造罪業，這屬於邪定聚。造罪業，你能夠得到的，還是你命裡有的。命裡沒有的，造什麼樣的罪業，得不到，你說你冤不冤枉？所以你就曉得，因果教育多重要！佛門當中，的確是殊勝，一般社會大眾都知道，「佛氏門中，有求必應」。我求發財，應不應？應。命裡沒有財？命裡沒有財求佛，佛教你發財了，那是真的不是假的；命裡沒有智慧，佛能幫助你開智慧；命裡沒有壽命，佛能幫助你長壽，有求必應。那在佛面前禱告禱告，這個不靈，這個沒用處，你得學經典，經典裡面有教你，生財有大道。用什麼方法？布施，財布施。那個人命中財富很多的，前世生生世世喜歡財布施，他才得這麼大的財富，不是坑人騙人來的，是歡歡喜喜布施</w:t>
      </w:r>
      <w:r>
        <w:t>他才得到的。聰明智慧的因是法布施，健康長壽的因是無畏布施。　　節錄自：</w:t>
      </w:r>
      <w:r>
        <w:t>02-039-0381</w:t>
      </w:r>
      <w:r>
        <w:t xml:space="preserve">淨土大經解演義　　</w:t>
      </w:r>
    </w:p>
    <w:sectPr w:rsidR="003B08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6E7C4" w14:textId="77777777" w:rsidR="003B08B7" w:rsidRDefault="003B08B7" w:rsidP="00720EC8">
      <w:r>
        <w:separator/>
      </w:r>
    </w:p>
  </w:endnote>
  <w:endnote w:type="continuationSeparator" w:id="0">
    <w:p w14:paraId="51904C71" w14:textId="77777777" w:rsidR="003B08B7" w:rsidRDefault="003B08B7" w:rsidP="00720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AD47A" w14:textId="77777777" w:rsidR="003B08B7" w:rsidRDefault="003B08B7" w:rsidP="00720EC8">
      <w:r>
        <w:separator/>
      </w:r>
    </w:p>
  </w:footnote>
  <w:footnote w:type="continuationSeparator" w:id="0">
    <w:p w14:paraId="421CEE1F" w14:textId="77777777" w:rsidR="003B08B7" w:rsidRDefault="003B08B7" w:rsidP="00720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C8"/>
    <w:rsid w:val="003B08B7"/>
    <w:rsid w:val="00720E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317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E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E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E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E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