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5C61" w14:textId="77777777" w:rsidR="00670708" w:rsidRDefault="00670708">
      <w:r>
        <w:t>淨土大經解演義節要</w:t>
      </w:r>
      <w:r>
        <w:t>—</w:t>
      </w:r>
      <w:r>
        <w:t>這個世界有很好，沒有也好　　（第一三五六集）　　檔名：</w:t>
      </w:r>
      <w:r>
        <w:t xml:space="preserve">29-519-1356 </w:t>
      </w:r>
    </w:p>
    <w:p w14:paraId="3194CF14" w14:textId="77777777" w:rsidR="00670708" w:rsidRDefault="00670708">
      <w:pPr>
        <w:pStyle w:val="a3"/>
      </w:pPr>
      <w:r>
        <w:t xml:space="preserve">　　斷疑就是真信不懷疑，對自己頭一個相信自己本來是佛，釋迦牟尼佛在大乘經上講的這一句我接受了、我承認了，我知道我本來是佛，我本來是無量覺，現在之所以不覺，就是因為有妄想分別執著而不能證得，這句話是世尊在《華嚴經》上說的。我既然本來是佛，我現在要爭一口氣，我一定把我本來面目找回來，我要成佛。本來不是佛，你要成佛，那可就難了！本來是佛，你想成佛就不難。中國老祖宗教導我們本性本善，古時候童蒙小孩初上學念的課本《三字經》，第一句話聖人就教導我們「人之初，性本善」。換句話說，中國傳統的教育目標沒有別的，如何回到當初，把本善找回來，教育的目的就圓滿，跟大乘佛法裡面講的本來是佛一個意思，完全相通。所以那些毛病習氣，所有一切不善，統統都要放下，放下就是。</w:t>
      </w:r>
      <w:r>
        <w:t xml:space="preserve"> </w:t>
      </w:r>
    </w:p>
    <w:p w14:paraId="34D903F0" w14:textId="77777777" w:rsidR="00670708" w:rsidRDefault="00670708">
      <w:pPr>
        <w:pStyle w:val="a3"/>
      </w:pPr>
      <w:r>
        <w:t xml:space="preserve">　　這種修行，事上即得，理上未徹。理沒有大徹大悟，事上，事都做到了，做得很如法。理上未徹你也了不起，為什麼？你能夠得到真信，不是真信你做不到，不是真信，照這個方法做，做個三年五載自然真信發現。為什麼？因為它跟一心相通，它是向著回歸自性的這一條路愈走愈接近，你只不要走岔路，你就向這一條路上走，你就會得到。先得到我真信了，然後接著真想到極樂世界，這個願心了不起。有真信、有真願，蕅益大師講的，你就決定得生。生到西方極樂世界品位高下，那是你念佛功夫的淺深，能不能往生決定在有沒有真信、真願。記住，人有真信、真願，這個世界全不關心了、全放下了，有很好，沒有也好。這個世間事情不再操心、不再掛心，有也不必丟掉，沒有你也不要求，一切隨緣，多快樂，不再造作。沒有去求是造作，有了把它丟掉也是造作，只要你心地清淨，有無都沒關係、都不礙事，絕不妨礙你的清淨心，絕不惹起你的妄想分別執著，就對了，那叫做功夫。由此可知，清淨心，剋實而論，一切時、一切處統統可以修，天堂可以修，地獄也可以修，只要你明白這個道理。而且不難修，常常提醒自己一句話，「凡所有相皆是虛妄」，容易放下，不再去做錯事了，那我們功夫真的會得力。因為只得信力，成就你願力，沒見性</w:t>
      </w:r>
      <w:r>
        <w:t>，未見道故，沒見性，所以叫事一心。由此可知，見性才叫理一心。　　節錄自：</w:t>
      </w:r>
      <w:r>
        <w:t>02-039-0418</w:t>
      </w:r>
      <w:r>
        <w:t xml:space="preserve">淨土大經解演義　　</w:t>
      </w:r>
    </w:p>
    <w:sectPr w:rsidR="006707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1A80" w14:textId="77777777" w:rsidR="00670708" w:rsidRDefault="00670708" w:rsidP="000758DA">
      <w:r>
        <w:separator/>
      </w:r>
    </w:p>
  </w:endnote>
  <w:endnote w:type="continuationSeparator" w:id="0">
    <w:p w14:paraId="5D3EBD50" w14:textId="77777777" w:rsidR="00670708" w:rsidRDefault="00670708" w:rsidP="0007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C469" w14:textId="77777777" w:rsidR="00670708" w:rsidRDefault="00670708" w:rsidP="000758DA">
      <w:r>
        <w:separator/>
      </w:r>
    </w:p>
  </w:footnote>
  <w:footnote w:type="continuationSeparator" w:id="0">
    <w:p w14:paraId="1EE391F2" w14:textId="77777777" w:rsidR="00670708" w:rsidRDefault="00670708" w:rsidP="00075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DA"/>
    <w:rsid w:val="000758DA"/>
    <w:rsid w:val="006707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09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