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799C" w14:textId="77777777" w:rsidR="000B263F" w:rsidRDefault="000B263F">
      <w:r>
        <w:t>淨土大經解演義節要</w:t>
      </w:r>
      <w:r>
        <w:t>—</w:t>
      </w:r>
      <w:r>
        <w:t>生活苦一點無所謂，不願意將來受果報　　（第一三六四集）　　檔名：</w:t>
      </w:r>
      <w:r>
        <w:t xml:space="preserve">29-519-1364 </w:t>
      </w:r>
    </w:p>
    <w:p w14:paraId="58951AAE" w14:textId="77777777" w:rsidR="000B263F" w:rsidRDefault="000B263F">
      <w:pPr>
        <w:pStyle w:val="a3"/>
      </w:pPr>
      <w:r>
        <w:t xml:space="preserve">　　「《安樂集》破之曰：十念相續，似若不難」，好像不難，「然諸凡夫，心如野馬，識劇猿猴，馳騁六塵，何曾停息，各須宜發信心，預自剋念，使積習成性，善根堅固也」。這個話說的都是真話。十念好像是很簡單，凡夫也不容易，不容易在什麼地方？他心浮氣躁，妄念不止，就這十念他都念不下去，這是真的。別說是十念，一念都不行。這就是我們常講的沒有善根、福德，沒有善根是說什麼？他不相信，跟他講他聽不懂，這就是沒有善根；沒有福德是他不肯幹，他還懷念這個世間，捨不得離開，情執很深。或者是捨不得他的富貴、他的財產、他的爵位，迷戀在其中。</w:t>
      </w:r>
      <w:r>
        <w:t xml:space="preserve"> </w:t>
      </w:r>
    </w:p>
    <w:p w14:paraId="6B2D6A36" w14:textId="77777777" w:rsidR="000B263F" w:rsidRDefault="000B263F">
      <w:pPr>
        <w:pStyle w:val="a3"/>
      </w:pPr>
      <w:r>
        <w:t xml:space="preserve">　　這些事情在現在很普遍，古時候比較好一點，為什麼？古人很重視因果教育。古時候每一個地方，是一個小鎮，那裡頭都有城隍廟。城隍廟裡面一定有閻王殿，十殿閻王。閻王殿裡面顯示的是地獄的果報，泥塑木雕。我們小時候家鄉閻王殿是泥塑的，你進去看一看，就等於說是到地獄去參觀一下，造什麼樣的罪，受什麼樣的報，這個瀏覽一下，印象很深刻。特別是從小，農村裡面的婦女一年總有幾次到城隍廟燒香，帶著小孩。我小時候五、六歲，六、七歲，每年跟著母親城隍廟燒香，總要去看一遍，一年要看三、四遍，印象深刻。起個不善的念頭，就會想到那個閻王殿裡頭的果報，心就涼了，不敢做。生活苦一點無所謂，還過得去，不願意將來受這個果報。古時候，祠堂、城隍廟，在中國這片大地到處都有，非常普遍。孔廟還少，孔廟大概一個縣市裡有一個孔廟。可是城隍廟、土地廟、神廟、祠堂到處都有，敬鬼神，明因果，不敢有惡念。惡念尚且沒有，哪有惡行？這個對於人心的約束、對於人心的規範，起非常大的作用。現在人把它看作是迷信，都毀掉了，破除迷信。是不迷信了，社會動亂，沒有辦法把社會安定下來。古時候這些帝王用這些方法，社會安定，天下太平，人民安居樂業。　　節錄自：</w:t>
      </w:r>
      <w:r>
        <w:t>02-039-0421</w:t>
      </w:r>
      <w:r>
        <w:t xml:space="preserve">淨土大經解演義　　</w:t>
      </w:r>
    </w:p>
    <w:sectPr w:rsidR="000B26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44197" w14:textId="77777777" w:rsidR="000B263F" w:rsidRDefault="000B263F" w:rsidP="00367C7B">
      <w:r>
        <w:separator/>
      </w:r>
    </w:p>
  </w:endnote>
  <w:endnote w:type="continuationSeparator" w:id="0">
    <w:p w14:paraId="29906951" w14:textId="77777777" w:rsidR="000B263F" w:rsidRDefault="000B263F" w:rsidP="00367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B7C35" w14:textId="77777777" w:rsidR="000B263F" w:rsidRDefault="000B263F" w:rsidP="00367C7B">
      <w:r>
        <w:separator/>
      </w:r>
    </w:p>
  </w:footnote>
  <w:footnote w:type="continuationSeparator" w:id="0">
    <w:p w14:paraId="4AFBC2BC" w14:textId="77777777" w:rsidR="000B263F" w:rsidRDefault="000B263F" w:rsidP="00367C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7B"/>
    <w:rsid w:val="000B263F"/>
    <w:rsid w:val="00367C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4FC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C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C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C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C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